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461" w:rsidRDefault="00384AB8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lang w:eastAsia="ja-JP"/>
        </w:rPr>
        <w:t>3GPP TSG RAN Meeting #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07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        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RP-250544</w:t>
      </w:r>
    </w:p>
    <w:p w:rsidR="00177461" w:rsidRDefault="00384AB8">
      <w:pPr>
        <w:pStyle w:val="Arial1101987050"/>
        <w:spacing w:before="120" w:after="120"/>
      </w:pPr>
      <w:r>
        <w:rPr>
          <w:rFonts w:hint="eastAsia"/>
        </w:rPr>
        <w:t>Incheon, Korea, March 12-14, 202</w:t>
      </w:r>
      <w:r>
        <w:rPr>
          <w:rFonts w:hint="eastAsia"/>
        </w:rPr>
        <w:t>5</w:t>
      </w:r>
    </w:p>
    <w:p w:rsidR="00177461" w:rsidRDefault="00177461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:rsidR="00177461" w:rsidRDefault="00384AB8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Discussion on A-IoT in Rel-19</w:t>
      </w:r>
    </w:p>
    <w:p w:rsidR="00177461" w:rsidRDefault="00384AB8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 Corporation, Sanechips</w:t>
      </w:r>
    </w:p>
    <w:p w:rsidR="00177461" w:rsidRDefault="00384AB8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9.3.1.7</w:t>
      </w:r>
    </w:p>
    <w:p w:rsidR="00177461" w:rsidRDefault="00384AB8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177461" w:rsidRDefault="00384AB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177461" w:rsidRDefault="00384AB8">
      <w:pPr>
        <w:pStyle w:val="af0"/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>In RAN</w:t>
      </w:r>
      <w:r>
        <w:rPr>
          <w:rFonts w:hint="eastAsia"/>
          <w:color w:val="000000"/>
          <w:sz w:val="20"/>
        </w:rPr>
        <w:t>#106 meeting, the work item [1] for Ambient IoT w</w:t>
      </w:r>
      <w:r>
        <w:rPr>
          <w:color w:val="000000"/>
          <w:sz w:val="20"/>
        </w:rPr>
        <w:t>as</w:t>
      </w:r>
      <w:r>
        <w:rPr>
          <w:rFonts w:hint="eastAsia"/>
          <w:color w:val="000000"/>
          <w:sz w:val="20"/>
        </w:rPr>
        <w:t xml:space="preserve"> approved. RAN WGs ha</w:t>
      </w:r>
      <w:r>
        <w:rPr>
          <w:color w:val="000000"/>
          <w:sz w:val="20"/>
        </w:rPr>
        <w:t>ve</w:t>
      </w:r>
      <w:r>
        <w:rPr>
          <w:rFonts w:hint="eastAsia"/>
          <w:color w:val="000000"/>
          <w:sz w:val="20"/>
        </w:rPr>
        <w:t xml:space="preserve"> started the normative work since 2025</w:t>
      </w:r>
      <w:r>
        <w:rPr>
          <w:color w:val="000000"/>
          <w:sz w:val="20"/>
        </w:rPr>
        <w:t xml:space="preserve"> </w:t>
      </w:r>
      <w:r>
        <w:rPr>
          <w:rFonts w:hint="eastAsia"/>
          <w:color w:val="000000"/>
          <w:sz w:val="20"/>
        </w:rPr>
        <w:t xml:space="preserve">Q1. In this contribution, the Rel-19 A-IoT issues are discussed. </w:t>
      </w:r>
    </w:p>
    <w:p w:rsidR="00177461" w:rsidRDefault="00384AB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</w:p>
    <w:p w:rsidR="00177461" w:rsidRDefault="00384AB8">
      <w:pPr>
        <w:pStyle w:val="2"/>
        <w:spacing w:before="120" w:after="120" w:line="260" w:lineRule="auto"/>
        <w:ind w:left="0" w:right="210"/>
        <w:jc w:val="left"/>
      </w:pPr>
      <w:r>
        <w:rPr>
          <w:rFonts w:hint="eastAsia"/>
        </w:rPr>
        <w:t>FEC in D2R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7461">
        <w:tc>
          <w:tcPr>
            <w:tcW w:w="9876" w:type="dxa"/>
          </w:tcPr>
          <w:p w:rsidR="00177461" w:rsidRDefault="00384AB8">
            <w:pPr>
              <w:numPr>
                <w:ilvl w:val="0"/>
                <w:numId w:val="7"/>
              </w:numPr>
              <w:spacing w:before="120" w:after="120"/>
              <w:ind w:right="-96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RAN1 scope:</w:t>
            </w:r>
          </w:p>
          <w:p w:rsidR="00177461" w:rsidRDefault="00384AB8">
            <w:pPr>
              <w:spacing w:before="120" w:after="120"/>
              <w:ind w:left="360" w:right="-96"/>
              <w:rPr>
                <w:i/>
                <w:iCs/>
                <w:sz w:val="20"/>
              </w:rPr>
            </w:pPr>
            <w:r>
              <w:rPr>
                <w:rFonts w:hint="eastAsia"/>
                <w:i/>
                <w:iCs/>
                <w:sz w:val="20"/>
              </w:rPr>
              <w:t>...............................................................................omitted...........................................................................................</w:t>
            </w:r>
          </w:p>
          <w:p w:rsidR="00177461" w:rsidRDefault="00384AB8">
            <w:pPr>
              <w:numPr>
                <w:ilvl w:val="1"/>
                <w:numId w:val="7"/>
              </w:numPr>
              <w:spacing w:before="120" w:after="120"/>
              <w:ind w:right="-96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R2D does not support FEC. </w:t>
            </w:r>
            <w:r>
              <w:rPr>
                <w:sz w:val="20"/>
                <w:highlight w:val="yellow"/>
                <w:lang w:eastAsia="ja-JP"/>
              </w:rPr>
              <w:t xml:space="preserve">D2R supports only convolutional code </w:t>
            </w:r>
            <w:r>
              <w:rPr>
                <w:sz w:val="20"/>
                <w:lang w:eastAsia="ja-JP"/>
              </w:rPr>
              <w:t xml:space="preserve">with generator </w:t>
            </w:r>
            <w:r>
              <w:rPr>
                <w:sz w:val="20"/>
                <w:lang w:eastAsia="ja-JP"/>
              </w:rPr>
              <w:t>polynomials as per TS 36.212 (unless RAN1 decides to use other generator polynomials by RAN1#120bis).</w:t>
            </w:r>
          </w:p>
          <w:p w:rsidR="00177461" w:rsidRDefault="00384AB8">
            <w:pPr>
              <w:numPr>
                <w:ilvl w:val="1"/>
                <w:numId w:val="7"/>
              </w:numPr>
              <w:spacing w:before="120" w:after="120"/>
              <w:ind w:right="-96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PRDCH and PDRCH both support transmission without CRC, and with CRC as per the generator polynomials in TS 38.212 (unless RAN1 decides to use other genera</w:t>
            </w:r>
            <w:r>
              <w:rPr>
                <w:sz w:val="20"/>
                <w:lang w:eastAsia="ja-JP"/>
              </w:rPr>
              <w:t>tor polynomials by RAN1#120bis) for 6-bit CRC and 16-bit CRC. Cases to use which length of CRC, or no CRC, to be decided in RAN1.</w:t>
            </w:r>
          </w:p>
          <w:p w:rsidR="00177461" w:rsidRDefault="00384AB8">
            <w:pPr>
              <w:numPr>
                <w:ilvl w:val="1"/>
                <w:numId w:val="7"/>
              </w:numPr>
              <w:spacing w:before="120" w:after="120"/>
              <w:ind w:right="-96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D2R supports physical layer repetition transmission. R2D does not support physical-layer repetition transmission. </w:t>
            </w:r>
          </w:p>
          <w:p w:rsidR="00177461" w:rsidRDefault="00384AB8">
            <w:pPr>
              <w:spacing w:before="120" w:after="120"/>
              <w:ind w:left="360" w:right="-96"/>
            </w:pPr>
            <w:r>
              <w:rPr>
                <w:rFonts w:hint="eastAsia"/>
                <w:i/>
                <w:iCs/>
                <w:sz w:val="20"/>
              </w:rPr>
              <w:t>...........</w:t>
            </w:r>
            <w:r>
              <w:rPr>
                <w:rFonts w:hint="eastAsia"/>
                <w:i/>
                <w:iCs/>
                <w:sz w:val="20"/>
              </w:rPr>
              <w:t>...................................................................omitted...........................................................................................</w:t>
            </w:r>
          </w:p>
        </w:tc>
      </w:tr>
    </w:tbl>
    <w:p w:rsidR="00177461" w:rsidRDefault="00177461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</w:p>
    <w:p w:rsidR="00177461" w:rsidRDefault="00384AB8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Based on the RAN1 WI scope highlight</w:t>
      </w:r>
      <w:r>
        <w:rPr>
          <w:b w:val="0"/>
          <w:bCs w:val="0"/>
          <w:i w:val="0"/>
          <w:iCs w:val="0"/>
          <w:lang w:val="en-US" w:eastAsia="zh-CN"/>
        </w:rPr>
        <w:t>ed above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, D2R supports FEC. However, whether the FEC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is optional or mandat</w:t>
      </w:r>
      <w:r>
        <w:rPr>
          <w:b w:val="0"/>
          <w:bCs w:val="0"/>
          <w:i w:val="0"/>
          <w:iCs w:val="0"/>
          <w:lang w:val="en-US" w:eastAsia="zh-CN"/>
        </w:rPr>
        <w:t>ory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in D2R </w:t>
      </w:r>
      <w:r>
        <w:rPr>
          <w:b w:val="0"/>
          <w:bCs w:val="0"/>
          <w:i w:val="0"/>
          <w:iCs w:val="0"/>
          <w:lang w:val="en-US" w:eastAsia="zh-CN"/>
        </w:rPr>
        <w:t>has been discussed in RAN1 without consensus and hence needs further guidance from plenary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. </w:t>
      </w:r>
    </w:p>
    <w:p w:rsidR="00177461" w:rsidRDefault="00384AB8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In our view, it is clear that WID doesn</w:t>
      </w:r>
      <w:r>
        <w:rPr>
          <w:b w:val="0"/>
          <w:bCs w:val="0"/>
          <w:i w:val="0"/>
          <w:iCs w:val="0"/>
          <w:lang w:val="en-US" w:eastAsia="zh-CN"/>
        </w:rPr>
        <w:t>’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t mandate to always enable FEC in D2R. Based on TR38.769, the following can be observed.</w:t>
      </w:r>
    </w:p>
    <w:p w:rsidR="00177461" w:rsidRDefault="00384AB8">
      <w:pPr>
        <w:pStyle w:val="YJ-Proposal"/>
        <w:numPr>
          <w:ilvl w:val="0"/>
          <w:numId w:val="8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W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hether to apply FEC in the D2R coverage evaluation is up to companies</w:t>
      </w:r>
      <w:r>
        <w:rPr>
          <w:b w:val="0"/>
          <w:bCs w:val="0"/>
          <w:i w:val="0"/>
          <w:iCs w:val="0"/>
          <w:lang w:val="en-US" w:eastAsia="zh-CN"/>
        </w:rPr>
        <w:t>’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preference. </w:t>
      </w:r>
    </w:p>
    <w:p w:rsidR="00177461" w:rsidRDefault="00384AB8">
      <w:pPr>
        <w:pStyle w:val="YJ-Proposal"/>
        <w:numPr>
          <w:ilvl w:val="0"/>
          <w:numId w:val="8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According to the observation in subclause 7.1.1.1.2, the coverage of device 1 can meet the design target evaluation with or without D2R FEC. </w:t>
      </w:r>
    </w:p>
    <w:p w:rsidR="00177461" w:rsidRDefault="00384AB8">
      <w:pPr>
        <w:pStyle w:val="YJ-Proposal"/>
        <w:numPr>
          <w:ilvl w:val="0"/>
          <w:numId w:val="8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The block diagram of </w:t>
      </w:r>
      <w:r>
        <w:rPr>
          <w:b w:val="0"/>
          <w:bCs w:val="0"/>
          <w:i w:val="0"/>
          <w:iCs w:val="0"/>
          <w:lang w:val="en-US" w:eastAsia="zh-CN"/>
        </w:rPr>
        <w:t>PDRCH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in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subclause </w:t>
      </w:r>
      <w:r>
        <w:rPr>
          <w:b w:val="0"/>
          <w:bCs w:val="0"/>
          <w:i w:val="0"/>
          <w:iCs w:val="0"/>
          <w:lang w:val="en-US" w:eastAsia="zh-CN"/>
        </w:rPr>
        <w:t>6.1.2.5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is applicable to the case when FEC is present as it is highlighted.</w:t>
      </w:r>
    </w:p>
    <w:p w:rsidR="00177461" w:rsidRDefault="00384AB8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Therefore, FEC is not mandat</w:t>
      </w:r>
      <w:r>
        <w:rPr>
          <w:b w:val="0"/>
          <w:bCs w:val="0"/>
          <w:i w:val="0"/>
          <w:iCs w:val="0"/>
          <w:lang w:val="en-US" w:eastAsia="zh-CN"/>
        </w:rPr>
        <w:t>ory in D2R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</w:t>
      </w:r>
      <w:r>
        <w:rPr>
          <w:b w:val="0"/>
          <w:bCs w:val="0"/>
          <w:i w:val="0"/>
          <w:iCs w:val="0"/>
          <w:lang w:val="en-US" w:eastAsia="zh-CN"/>
        </w:rPr>
        <w:t>according to the study during the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SI phase.</w:t>
      </w:r>
    </w:p>
    <w:p w:rsidR="00177461" w:rsidRDefault="00384AB8">
      <w:pPr>
        <w:pStyle w:val="YJ-Observation"/>
        <w:spacing w:before="120" w:after="120"/>
        <w:rPr>
          <w:lang w:val="en-US" w:eastAsia="zh-CN"/>
        </w:rPr>
      </w:pPr>
      <w:r>
        <w:rPr>
          <w:lang w:val="en-US" w:eastAsia="zh-CN"/>
        </w:rPr>
        <w:t>WID</w:t>
      </w:r>
      <w:r>
        <w:rPr>
          <w:rFonts w:hint="eastAsia"/>
          <w:lang w:val="en-US" w:eastAsia="zh-CN"/>
        </w:rPr>
        <w:t>/TR38.679</w:t>
      </w:r>
      <w:r>
        <w:rPr>
          <w:lang w:val="en-US" w:eastAsia="zh-CN"/>
        </w:rPr>
        <w:t xml:space="preserve"> doesn’t mandate to always enable FEC in D2R</w:t>
      </w:r>
      <w:r>
        <w:rPr>
          <w:rFonts w:hint="eastAsia"/>
          <w:lang w:val="en-US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7461">
        <w:trPr>
          <w:trHeight w:val="2172"/>
        </w:trPr>
        <w:tc>
          <w:tcPr>
            <w:tcW w:w="9876" w:type="dxa"/>
          </w:tcPr>
          <w:p w:rsidR="00177461" w:rsidRDefault="00384AB8">
            <w:pPr>
              <w:pStyle w:val="3"/>
              <w:numPr>
                <w:ilvl w:val="2"/>
                <w:numId w:val="0"/>
              </w:numPr>
              <w:spacing w:after="120"/>
              <w:ind w:right="210"/>
              <w:rPr>
                <w:rFonts w:ascii="Times New Roman" w:eastAsia="等线" w:hAnsi="Times New Roman"/>
                <w:b/>
                <w:bCs/>
                <w:sz w:val="20"/>
              </w:rPr>
            </w:pPr>
            <w:bookmarkStart w:id="1" w:name="_Toc187176075"/>
            <w:bookmarkStart w:id="2" w:name="_Toc181740488"/>
            <w:r>
              <w:rPr>
                <w:rFonts w:ascii="Times New Roman" w:eastAsia="等线" w:hAnsi="Times New Roman"/>
                <w:b/>
                <w:bCs/>
                <w:sz w:val="20"/>
              </w:rPr>
              <w:lastRenderedPageBreak/>
              <w:t>4.2.2</w:t>
            </w:r>
            <w:r>
              <w:rPr>
                <w:rFonts w:ascii="Times New Roman" w:eastAsia="等线" w:hAnsi="Times New Roman"/>
                <w:b/>
                <w:bCs/>
                <w:sz w:val="20"/>
              </w:rPr>
              <w:tab/>
              <w:t>Evaluation assumptions</w:t>
            </w:r>
            <w:bookmarkEnd w:id="1"/>
            <w:bookmarkEnd w:id="2"/>
          </w:p>
          <w:p w:rsidR="00177461" w:rsidRDefault="00384AB8">
            <w:pPr>
              <w:spacing w:before="120" w:after="120"/>
              <w:ind w:left="360" w:right="-96"/>
              <w:rPr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...............................................................................omitted...........................................................................................</w:t>
            </w:r>
          </w:p>
          <w:p w:rsidR="00177461" w:rsidRDefault="00384AB8">
            <w:pPr>
              <w:pStyle w:val="TH"/>
              <w:spacing w:before="120" w:after="120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eastAsia="等线" w:hAnsi="Times New Roman"/>
              </w:rPr>
              <w:t>Table 4.2.2-1: Coverage evaluation assumptions for link-level simulation</w:t>
            </w:r>
          </w:p>
          <w:tbl>
            <w:tblPr>
              <w:tblW w:w="50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8"/>
              <w:gridCol w:w="2260"/>
              <w:gridCol w:w="6654"/>
            </w:tblGrid>
            <w:tr w:rsidR="00177461">
              <w:trPr>
                <w:trHeight w:val="20"/>
                <w:jc w:val="center"/>
              </w:trPr>
              <w:tc>
                <w:tcPr>
                  <w:tcW w:w="5000" w:type="pct"/>
                  <w:gridSpan w:val="3"/>
                  <w:shd w:val="clear" w:color="auto" w:fill="D0CECE"/>
                </w:tcPr>
                <w:p w:rsidR="00177461" w:rsidRDefault="00384AB8">
                  <w:pPr>
                    <w:widowControl w:val="0"/>
                    <w:spacing w:before="120" w:after="120"/>
                    <w:jc w:val="center"/>
                    <w:rPr>
                      <w:rFonts w:eastAsia="等线"/>
                      <w:b/>
                      <w:bCs/>
                      <w:sz w:val="20"/>
                    </w:rPr>
                  </w:pPr>
                  <w:r>
                    <w:rPr>
                      <w:rFonts w:eastAsia="等线"/>
                      <w:b/>
                      <w:bCs/>
                      <w:sz w:val="20"/>
                    </w:rPr>
                    <w:t>D2R s</w:t>
                  </w:r>
                  <w:r>
                    <w:rPr>
                      <w:rFonts w:eastAsia="等线"/>
                      <w:b/>
                      <w:bCs/>
                      <w:sz w:val="20"/>
                    </w:rPr>
                    <w:t>pecific parameters</w:t>
                  </w:r>
                </w:p>
              </w:tc>
            </w:tr>
            <w:tr w:rsidR="00177461">
              <w:trPr>
                <w:trHeight w:val="20"/>
                <w:jc w:val="center"/>
              </w:trPr>
              <w:tc>
                <w:tcPr>
                  <w:tcW w:w="290" w:type="pct"/>
                  <w:shd w:val="clear" w:color="auto" w:fill="D0CECE"/>
                </w:tcPr>
                <w:p w:rsidR="00177461" w:rsidRDefault="00384AB8">
                  <w:pPr>
                    <w:widowControl w:val="0"/>
                    <w:spacing w:before="120" w:after="12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[2g]</w:t>
                  </w:r>
                </w:p>
              </w:tc>
              <w:tc>
                <w:tcPr>
                  <w:tcW w:w="119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7461" w:rsidRDefault="00384AB8">
                  <w:pPr>
                    <w:widowControl w:val="0"/>
                    <w:spacing w:before="120" w:after="120"/>
                    <w:rPr>
                      <w:rFonts w:eastAsia="等线"/>
                      <w:sz w:val="20"/>
                    </w:rPr>
                  </w:pPr>
                  <w:r>
                    <w:rPr>
                      <w:rFonts w:eastAsia="等线"/>
                      <w:sz w:val="20"/>
                    </w:rPr>
                    <w:t>FEC</w:t>
                  </w:r>
                </w:p>
              </w:tc>
              <w:tc>
                <w:tcPr>
                  <w:tcW w:w="351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77461" w:rsidRDefault="00384AB8">
                  <w:pPr>
                    <w:widowControl w:val="0"/>
                    <w:spacing w:before="120" w:after="120"/>
                    <w:rPr>
                      <w:rFonts w:eastAsia="等线"/>
                      <w:sz w:val="20"/>
                    </w:rPr>
                  </w:pPr>
                  <w:r>
                    <w:rPr>
                      <w:rFonts w:eastAsia="等线"/>
                      <w:sz w:val="20"/>
                      <w:highlight w:val="yellow"/>
                    </w:rPr>
                    <w:t>Companies to report, e.g., CC, No FEC</w:t>
                  </w:r>
                </w:p>
              </w:tc>
            </w:tr>
          </w:tbl>
          <w:p w:rsidR="00177461" w:rsidRDefault="00177461">
            <w:pPr>
              <w:pStyle w:val="YJ-Proposal"/>
              <w:numPr>
                <w:ilvl w:val="0"/>
                <w:numId w:val="0"/>
              </w:numPr>
              <w:spacing w:beforeLines="0" w:afterLines="0" w:after="120" w:line="240" w:lineRule="auto"/>
              <w:jc w:val="both"/>
              <w:rPr>
                <w:b w:val="0"/>
                <w:bCs w:val="0"/>
                <w:i w:val="0"/>
                <w:iCs w:val="0"/>
                <w:lang w:val="en-US" w:eastAsia="zh-CN"/>
              </w:rPr>
            </w:pPr>
          </w:p>
          <w:p w:rsidR="00177461" w:rsidRDefault="00384AB8">
            <w:pPr>
              <w:spacing w:before="120" w:after="120"/>
              <w:ind w:left="360" w:right="-96"/>
              <w:rPr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...............................................................................omitted...........................................................................................</w:t>
            </w:r>
          </w:p>
          <w:p w:rsidR="00177461" w:rsidRDefault="00384AB8">
            <w:pPr>
              <w:pStyle w:val="4"/>
              <w:numPr>
                <w:ilvl w:val="2"/>
                <w:numId w:val="0"/>
              </w:numPr>
              <w:ind w:right="210"/>
              <w:rPr>
                <w:rFonts w:ascii="Times New Roman" w:eastAsia="等线" w:hAnsi="Times New Roman"/>
                <w:sz w:val="20"/>
              </w:rPr>
            </w:pPr>
            <w:bookmarkStart w:id="3" w:name="_Toc187176118"/>
            <w:bookmarkStart w:id="4" w:name="_Toc181740530"/>
            <w:r>
              <w:rPr>
                <w:rFonts w:ascii="Times New Roman" w:eastAsia="等线" w:hAnsi="Times New Roman"/>
                <w:sz w:val="20"/>
              </w:rPr>
              <w:t>6.1.2.5</w:t>
            </w:r>
            <w:r>
              <w:rPr>
                <w:rFonts w:ascii="Times New Roman" w:eastAsia="等线" w:hAnsi="Times New Roman"/>
                <w:sz w:val="20"/>
              </w:rPr>
              <w:tab/>
            </w:r>
            <w:r>
              <w:rPr>
                <w:rFonts w:ascii="Times New Roman" w:eastAsia="等线" w:hAnsi="Times New Roman"/>
                <w:sz w:val="20"/>
              </w:rPr>
              <w:t>PDRCH</w:t>
            </w:r>
            <w:bookmarkEnd w:id="3"/>
            <w:bookmarkEnd w:id="4"/>
          </w:p>
          <w:p w:rsidR="00177461" w:rsidRDefault="00384AB8">
            <w:pPr>
              <w:spacing w:before="120" w:after="120"/>
              <w:rPr>
                <w:rFonts w:eastAsia="等线"/>
                <w:sz w:val="20"/>
              </w:rPr>
            </w:pPr>
            <w:r>
              <w:rPr>
                <w:rFonts w:eastAsia="等线"/>
                <w:sz w:val="20"/>
              </w:rPr>
              <w:t>For D2R, a physical channel PDRCH carries any higher-layer payload, the response transmitted from device to reader during the contention-based access procedure, and L1 D2R control information, if defined. PDRCH is studied via the blocks shown in Figu</w:t>
            </w:r>
            <w:r>
              <w:rPr>
                <w:rFonts w:eastAsia="等线"/>
                <w:sz w:val="20"/>
              </w:rPr>
              <w:t>res 6.1.2.5-1 and 6.1.2.5-2, where other clauses give their detailed descriptions and the location of the "Repetition" block depends on the repetition types described in Clause 6.1.0.1.</w:t>
            </w:r>
          </w:p>
          <w:p w:rsidR="00177461" w:rsidRDefault="00384AB8">
            <w:pPr>
              <w:pStyle w:val="TH"/>
              <w:spacing w:before="120" w:after="120"/>
              <w:rPr>
                <w:rFonts w:ascii="Times New Roman" w:eastAsia="等线" w:hAnsi="Times New Roman"/>
              </w:rPr>
            </w:pP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</w:instrText>
            </w:r>
            <w:r>
              <w:rPr>
                <w:rFonts w:ascii="Times New Roman" w:eastAsia="等线" w:hAnsi="Times New Roman"/>
              </w:rPr>
              <w:instrText xml:space="preserve">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</w:instrText>
            </w:r>
            <w:r>
              <w:rPr>
                <w:rFonts w:ascii="Times New Roman" w:eastAsia="等线" w:hAnsi="Times New Roman"/>
              </w:rPr>
              <w:instrText xml:space="preserve">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</w:instrText>
            </w:r>
            <w:r>
              <w:rPr>
                <w:rFonts w:ascii="Times New Roman" w:eastAsia="等线" w:hAnsi="Times New Roman"/>
              </w:rPr>
              <w:instrText xml:space="preserve">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</w:instrText>
            </w:r>
            <w:r>
              <w:rPr>
                <w:rFonts w:ascii="Times New Roman" w:eastAsia="等线" w:hAnsi="Times New Roman"/>
              </w:rPr>
              <w:instrText xml:space="preserve">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</w:instrText>
            </w:r>
            <w:r>
              <w:rPr>
                <w:rFonts w:ascii="Times New Roman" w:eastAsia="等线" w:hAnsi="Times New Roman"/>
              </w:rPr>
              <w:instrText xml:space="preserve">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</w:instrText>
            </w:r>
            <w:r>
              <w:rPr>
                <w:rFonts w:ascii="Times New Roman" w:eastAsia="等线" w:hAnsi="Times New Roman"/>
              </w:rPr>
              <w:instrText xml:space="preserve">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</w:instrText>
            </w:r>
            <w:r>
              <w:rPr>
                <w:rFonts w:ascii="Times New Roman" w:eastAsia="等线" w:hAnsi="Times New Roman"/>
              </w:rPr>
              <w:instrText xml:space="preserve">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</w:instrText>
            </w:r>
            <w:r>
              <w:rPr>
                <w:rFonts w:ascii="Times New Roman" w:eastAsia="等线" w:hAnsi="Times New Roman"/>
              </w:rPr>
              <w:instrText xml:space="preserve">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</w:instrText>
            </w:r>
            <w:r>
              <w:rPr>
                <w:rFonts w:ascii="Times New Roman" w:eastAsia="等线" w:hAnsi="Times New Roman"/>
              </w:rPr>
              <w:instrText xml:space="preserve">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</w:instrText>
            </w:r>
            <w:r>
              <w:rPr>
                <w:rFonts w:ascii="Times New Roman" w:eastAsia="等线" w:hAnsi="Times New Roman"/>
              </w:rPr>
              <w:instrText xml:space="preserve">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</w:instrText>
            </w:r>
            <w:r>
              <w:rPr>
                <w:rFonts w:ascii="Times New Roman" w:eastAsia="等线" w:hAnsi="Times New Roman"/>
              </w:rPr>
              <w:instrText xml:space="preserve">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</w:instrText>
            </w:r>
            <w:r>
              <w:rPr>
                <w:rFonts w:ascii="Times New Roman" w:eastAsia="等线" w:hAnsi="Times New Roman"/>
              </w:rPr>
              <w:instrText xml:space="preserve">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</w:instrText>
            </w:r>
            <w:r>
              <w:rPr>
                <w:rFonts w:ascii="Times New Roman" w:eastAsia="等线" w:hAnsi="Times New Roman"/>
              </w:rPr>
              <w:instrText xml:space="preserve">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</w:instrText>
            </w:r>
            <w:r>
              <w:rPr>
                <w:rFonts w:ascii="Times New Roman" w:eastAsia="等线" w:hAnsi="Times New Roman"/>
              </w:rPr>
              <w:instrText xml:space="preserve">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</w:instrText>
            </w:r>
            <w:r>
              <w:rPr>
                <w:rFonts w:ascii="Times New Roman" w:eastAsia="等线" w:hAnsi="Times New Roman"/>
              </w:rPr>
              <w:instrText xml:space="preserve">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</w:instrText>
            </w:r>
            <w:r>
              <w:rPr>
                <w:rFonts w:ascii="Times New Roman" w:eastAsia="等线" w:hAnsi="Times New Roman"/>
              </w:rPr>
              <w:instrText xml:space="preserve">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</w:instrText>
            </w:r>
            <w:r>
              <w:rPr>
                <w:rFonts w:ascii="Times New Roman" w:eastAsia="等线" w:hAnsi="Times New Roman"/>
              </w:rPr>
              <w:instrText xml:space="preserve">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</w:instrText>
            </w:r>
            <w:r>
              <w:rPr>
                <w:rFonts w:ascii="Times New Roman" w:eastAsia="等线" w:hAnsi="Times New Roman"/>
              </w:rPr>
              <w:instrText xml:space="preserve">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</w:instrText>
            </w:r>
            <w:r>
              <w:rPr>
                <w:rFonts w:ascii="Times New Roman" w:eastAsia="等线" w:hAnsi="Times New Roman"/>
              </w:rPr>
              <w:instrText xml:space="preserve">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</w:instrText>
            </w:r>
            <w:r>
              <w:rPr>
                <w:rFonts w:ascii="Times New Roman" w:eastAsia="等线" w:hAnsi="Times New Roman"/>
              </w:rPr>
              <w:instrText xml:space="preserve">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</w:instrText>
            </w:r>
            <w:r>
              <w:rPr>
                <w:rFonts w:ascii="Times New Roman" w:eastAsia="等线" w:hAnsi="Times New Roman"/>
              </w:rPr>
              <w:instrText xml:space="preserve">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</w:instrText>
            </w:r>
            <w:r>
              <w:rPr>
                <w:rFonts w:ascii="Times New Roman" w:eastAsia="等线" w:hAnsi="Times New Roman"/>
              </w:rPr>
              <w:instrText xml:space="preserve">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</w:instrText>
            </w:r>
            <w:r>
              <w:rPr>
                <w:rFonts w:ascii="Times New Roman" w:eastAsia="等线" w:hAnsi="Times New Roman"/>
              </w:rPr>
              <w:instrText xml:space="preserve">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</w:rPr>
              <w:fldChar w:fldCharType="begin"/>
            </w:r>
            <w:r>
              <w:rPr>
                <w:rFonts w:ascii="Times New Roman" w:eastAsia="等线" w:hAnsi="Times New Roman"/>
              </w:rPr>
              <w:instrText xml:space="preserve"> INCLUDEPICTURE  "cid:6AF22FB7-BD</w:instrText>
            </w:r>
            <w:r>
              <w:rPr>
                <w:rFonts w:ascii="Times New Roman" w:eastAsia="等线" w:hAnsi="Times New Roman"/>
              </w:rPr>
              <w:instrText xml:space="preserve">DC-47E8-AD27-6768E61BA5B9" \* MERGEFORMATINET </w:instrText>
            </w:r>
            <w:r>
              <w:rPr>
                <w:rFonts w:ascii="Times New Roman" w:eastAsia="等线" w:hAnsi="Times New Roman"/>
              </w:rPr>
              <w:fldChar w:fldCharType="separate"/>
            </w:r>
            <w:r>
              <w:rPr>
                <w:rFonts w:ascii="Times New Roman" w:eastAsia="等线" w:hAnsi="Times New Roman"/>
                <w:noProof/>
                <w:lang w:val="en-US"/>
              </w:rPr>
              <w:drawing>
                <wp:inline distT="0" distB="0" distL="114300" distR="114300">
                  <wp:extent cx="5781675" cy="914400"/>
                  <wp:effectExtent l="0" t="0" r="9525" b="0"/>
                  <wp:docPr id="1" name="图片 1" descr="PastedGraphic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PastedGraphic-1.png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16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  <w:r>
              <w:rPr>
                <w:rFonts w:ascii="Times New Roman" w:eastAsia="等线" w:hAnsi="Times New Roman"/>
              </w:rPr>
              <w:fldChar w:fldCharType="end"/>
            </w:r>
          </w:p>
          <w:p w:rsidR="00177461" w:rsidRDefault="00384AB8">
            <w:pPr>
              <w:pStyle w:val="TF"/>
              <w:spacing w:before="120" w:after="120"/>
              <w:rPr>
                <w:rFonts w:ascii="Times New Roman" w:eastAsia="等线" w:hAnsi="Times New Roman"/>
                <w:highlight w:val="yellow"/>
              </w:rPr>
            </w:pPr>
            <w:r>
              <w:rPr>
                <w:rFonts w:ascii="Times New Roman" w:eastAsia="等线" w:hAnsi="Times New Roman"/>
              </w:rPr>
              <w:t>Figure 6.1.2.5-1: Single PDRCH generation at the device with line coding,</w:t>
            </w:r>
            <w:r>
              <w:rPr>
                <w:rFonts w:ascii="Times New Roman" w:eastAsia="等线" w:hAnsi="Times New Roman"/>
                <w:highlight w:val="yellow"/>
              </w:rPr>
              <w:t xml:space="preserve"> for the case where FEC and repetition are present</w:t>
            </w:r>
          </w:p>
          <w:p w:rsidR="00177461" w:rsidRDefault="00384AB8">
            <w:pPr>
              <w:pStyle w:val="NO"/>
              <w:rPr>
                <w:rFonts w:eastAsia="等线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  <w:t xml:space="preserve">Presence of the block "small frequency shift" depends on the options for small frequency shift described </w:t>
            </w:r>
            <w:r>
              <w:rPr>
                <w:rFonts w:eastAsia="等线"/>
              </w:rPr>
              <w:t>in clause 6.1.2.7.1.</w:t>
            </w:r>
          </w:p>
          <w:p w:rsidR="00177461" w:rsidRDefault="00384AB8">
            <w:pPr>
              <w:pStyle w:val="TH"/>
              <w:spacing w:before="120" w:after="120"/>
              <w:rPr>
                <w:rFonts w:ascii="Times New Roman" w:eastAsia="等线" w:hAnsi="Times New Roman"/>
              </w:rPr>
            </w:pPr>
            <w:r>
              <w:rPr>
                <w:rFonts w:ascii="Times New Roman" w:eastAsia="等线" w:hAnsi="Times New Roman"/>
                <w:noProof/>
                <w:lang w:val="en-US"/>
              </w:rPr>
              <w:drawing>
                <wp:inline distT="0" distB="0" distL="0" distR="0">
                  <wp:extent cx="5303520" cy="10972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35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7461" w:rsidRDefault="00384AB8">
            <w:pPr>
              <w:pStyle w:val="TF"/>
              <w:spacing w:before="120" w:after="120"/>
              <w:rPr>
                <w:rFonts w:ascii="Times New Roman" w:eastAsia="等线" w:hAnsi="Times New Roman"/>
                <w:highlight w:val="yellow"/>
              </w:rPr>
            </w:pPr>
            <w:r>
              <w:rPr>
                <w:rFonts w:ascii="Times New Roman" w:eastAsia="等线" w:hAnsi="Times New Roman"/>
              </w:rPr>
              <w:t xml:space="preserve">Figure 6.1.2.5-2: Single PDRCH generation at the device without line coding, </w:t>
            </w:r>
            <w:r>
              <w:rPr>
                <w:rFonts w:ascii="Times New Roman" w:eastAsia="等线" w:hAnsi="Times New Roman"/>
                <w:highlight w:val="yellow"/>
              </w:rPr>
              <w:t>for the case where FEC and repetition are present.</w:t>
            </w:r>
          </w:p>
          <w:p w:rsidR="00177461" w:rsidRDefault="00384AB8">
            <w:pPr>
              <w:spacing w:before="120" w:after="120"/>
              <w:ind w:left="360" w:right="-9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...............................................................................omitted...................</w:t>
            </w:r>
            <w:r>
              <w:rPr>
                <w:i/>
                <w:iCs/>
                <w:sz w:val="20"/>
              </w:rPr>
              <w:t>........................................................................</w:t>
            </w:r>
          </w:p>
          <w:p w:rsidR="00177461" w:rsidRDefault="00177461">
            <w:pPr>
              <w:spacing w:before="120" w:after="120"/>
              <w:ind w:right="-96"/>
              <w:rPr>
                <w:i/>
                <w:iCs/>
                <w:sz w:val="20"/>
              </w:rPr>
            </w:pPr>
          </w:p>
          <w:p w:rsidR="00177461" w:rsidRDefault="00384AB8">
            <w:pPr>
              <w:pStyle w:val="3"/>
              <w:numPr>
                <w:ilvl w:val="2"/>
                <w:numId w:val="0"/>
              </w:numPr>
              <w:spacing w:after="120"/>
              <w:ind w:right="210"/>
              <w:rPr>
                <w:rFonts w:ascii="Times New Roman" w:eastAsia="宋体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7.1.1</w:t>
            </w:r>
            <w:r>
              <w:rPr>
                <w:rFonts w:ascii="Times New Roman" w:hAnsi="Times New Roman"/>
                <w:b/>
                <w:bCs/>
                <w:sz w:val="20"/>
              </w:rPr>
              <w:tab/>
            </w:r>
            <w:bookmarkStart w:id="5" w:name="_Hlk173167497"/>
            <w:r>
              <w:rPr>
                <w:rFonts w:ascii="Times New Roman" w:hAnsi="Times New Roman"/>
                <w:b/>
                <w:bCs/>
                <w:sz w:val="20"/>
              </w:rPr>
              <w:t>Link budget for D1T1</w:t>
            </w:r>
            <w:bookmarkEnd w:id="5"/>
          </w:p>
          <w:p w:rsidR="00177461" w:rsidRDefault="00384AB8">
            <w:pPr>
              <w:pStyle w:val="4"/>
              <w:numPr>
                <w:ilvl w:val="2"/>
                <w:numId w:val="0"/>
              </w:numPr>
              <w:ind w:right="21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7.1.1.1</w:t>
            </w:r>
            <w:r>
              <w:rPr>
                <w:rFonts w:ascii="Times New Roman" w:hAnsi="Times New Roman"/>
                <w:sz w:val="20"/>
              </w:rPr>
              <w:tab/>
              <w:t>Device 1</w:t>
            </w:r>
          </w:p>
          <w:p w:rsidR="00177461" w:rsidRDefault="00384AB8">
            <w:pPr>
              <w:pStyle w:val="5"/>
              <w:numPr>
                <w:ilvl w:val="2"/>
                <w:numId w:val="0"/>
              </w:numPr>
              <w:ind w:right="210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7.1.1.1.2</w:t>
            </w:r>
            <w:r>
              <w:rPr>
                <w:sz w:val="20"/>
                <w:u w:val="none"/>
              </w:rPr>
              <w:tab/>
              <w:t>Observations</w:t>
            </w:r>
          </w:p>
          <w:p w:rsidR="00177461" w:rsidRDefault="00384AB8">
            <w:pPr>
              <w:spacing w:before="120" w:after="120"/>
              <w:ind w:left="360" w:right="-96"/>
            </w:pPr>
            <w:r>
              <w:rPr>
                <w:i/>
                <w:iCs/>
                <w:sz w:val="20"/>
              </w:rPr>
              <w:t>...............................................................................omitted.............................</w:t>
            </w:r>
            <w:r>
              <w:rPr>
                <w:i/>
                <w:iCs/>
                <w:sz w:val="20"/>
              </w:rPr>
              <w:t>..............................................................</w:t>
            </w:r>
          </w:p>
          <w:p w:rsidR="00177461" w:rsidRDefault="00384AB8">
            <w:pPr>
              <w:pStyle w:val="TH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Table 7.1.1.1.2</w:t>
            </w:r>
          </w:p>
          <w:tbl>
            <w:tblPr>
              <w:tblStyle w:val="af3"/>
              <w:tblW w:w="4918" w:type="pct"/>
              <w:tblLook w:val="04A0" w:firstRow="1" w:lastRow="0" w:firstColumn="1" w:lastColumn="0" w:noHBand="0" w:noVBand="1"/>
            </w:tblPr>
            <w:tblGrid>
              <w:gridCol w:w="2736"/>
              <w:gridCol w:w="6533"/>
            </w:tblGrid>
            <w:tr w:rsidR="00177461">
              <w:trPr>
                <w:trHeight w:val="90"/>
              </w:trPr>
              <w:tc>
                <w:tcPr>
                  <w:tcW w:w="1476" w:type="pct"/>
                </w:tcPr>
                <w:p w:rsidR="00177461" w:rsidRDefault="00384AB8">
                  <w:pPr>
                    <w:pStyle w:val="TAH"/>
                    <w:spacing w:before="120" w:after="12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lastRenderedPageBreak/>
                    <w:t xml:space="preserve">Device 1 </w:t>
                  </w:r>
                </w:p>
              </w:tc>
              <w:tc>
                <w:tcPr>
                  <w:tcW w:w="3523" w:type="pct"/>
                </w:tcPr>
                <w:p w:rsidR="00177461" w:rsidRDefault="00384AB8">
                  <w:pPr>
                    <w:pStyle w:val="TAH"/>
                    <w:spacing w:before="120" w:after="12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D1T1-B</w:t>
                  </w:r>
                </w:p>
              </w:tc>
            </w:tr>
            <w:tr w:rsidR="00177461">
              <w:tc>
                <w:tcPr>
                  <w:tcW w:w="1476" w:type="pct"/>
                </w:tcPr>
                <w:p w:rsidR="00177461" w:rsidRDefault="00384AB8">
                  <w:pPr>
                    <w:pStyle w:val="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FEC code (1/2, 1/3, 1/4)</w:t>
                  </w:r>
                </w:p>
              </w:tc>
              <w:tc>
                <w:tcPr>
                  <w:tcW w:w="3523" w:type="pct"/>
                </w:tcPr>
                <w:p w:rsidR="00177461" w:rsidRDefault="00384AB8">
                  <w:pPr>
                    <w:pStyle w:val="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[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6.9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~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36.59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] meters. </w:t>
                  </w:r>
                  <w:r>
                    <w:rPr>
                      <w:rFonts w:ascii="Times New Roman" w:hAnsi="Times New Roman" w:cs="Times New Roman"/>
                      <w:color w:val="808080" w:themeColor="background1" w:themeShade="80"/>
                      <w:sz w:val="20"/>
                      <w:szCs w:val="20"/>
                    </w:rPr>
                    <w:t xml:space="preserve">(11: [193]:36.59, [207]:16.11, [192]:24.4, [203]:23.52, [205]:36.59, [210]:17.8, [190]:16.03, [202]:14.43, [209]:27.11, [194]:30.11, [213]:6.9)  </w:t>
                  </w:r>
                </w:p>
              </w:tc>
            </w:tr>
            <w:tr w:rsidR="00177461">
              <w:tc>
                <w:tcPr>
                  <w:tcW w:w="1476" w:type="pct"/>
                </w:tcPr>
                <w:p w:rsidR="00177461" w:rsidRDefault="00384AB8">
                  <w:pPr>
                    <w:pStyle w:val="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without FEC</w:t>
                  </w:r>
                </w:p>
              </w:tc>
              <w:tc>
                <w:tcPr>
                  <w:tcW w:w="3523" w:type="pct"/>
                </w:tcPr>
                <w:p w:rsidR="00177461" w:rsidRDefault="00384AB8">
                  <w:pPr>
                    <w:pStyle w:val="1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[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3.3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~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41.28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] meters. </w:t>
                  </w:r>
                  <w:r>
                    <w:rPr>
                      <w:rFonts w:ascii="Times New Roman" w:hAnsi="Times New Roman" w:cs="Times New Roman"/>
                      <w:color w:val="808080" w:themeColor="background1" w:themeShade="80"/>
                      <w:sz w:val="20"/>
                      <w:szCs w:val="20"/>
                    </w:rPr>
                    <w:t>(12: [199]:41.28, [215]:19.77, [200]:15.17, [191]:17.22, [201]:25.66, [21</w:t>
                  </w:r>
                  <w:r>
                    <w:rPr>
                      <w:rFonts w:ascii="Times New Roman" w:hAnsi="Times New Roman" w:cs="Times New Roman"/>
                      <w:color w:val="808080" w:themeColor="background1" w:themeShade="80"/>
                      <w:sz w:val="20"/>
                      <w:szCs w:val="20"/>
                    </w:rPr>
                    <w:t xml:space="preserve">2]:19.57, [211]:3.3, [190]:16.03, [214]:11.69, [196]:21.7, [198]:16.03, [213]:6.89)  </w:t>
                  </w:r>
                </w:p>
              </w:tc>
            </w:tr>
          </w:tbl>
          <w:p w:rsidR="00177461" w:rsidRDefault="00177461">
            <w:pPr>
              <w:spacing w:before="120" w:after="120"/>
              <w:ind w:right="-96"/>
              <w:rPr>
                <w:i/>
                <w:iCs/>
                <w:sz w:val="20"/>
              </w:rPr>
            </w:pPr>
          </w:p>
          <w:p w:rsidR="00177461" w:rsidRDefault="00384AB8">
            <w:pPr>
              <w:spacing w:before="120" w:after="120"/>
              <w:ind w:left="360" w:right="-9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...............................................................................omitted..................................................................................</w:t>
            </w:r>
            <w:r>
              <w:rPr>
                <w:i/>
                <w:iCs/>
                <w:sz w:val="20"/>
              </w:rPr>
              <w:t>.........</w:t>
            </w:r>
          </w:p>
        </w:tc>
      </w:tr>
    </w:tbl>
    <w:p w:rsidR="00177461" w:rsidRDefault="00177461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</w:p>
    <w:p w:rsidR="00177461" w:rsidRDefault="00384AB8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Moreover, based on the relationship between transmission bandwidth and data rate with different coding schemes in Table 1, it can be observed that when FEC is disabled, the A-IoT D2R can achieve a data rate of 645kHz at device clock frequency of 2.58MHz, w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hich are comparable to other techniques. However, if convolutional code is always mandated, the A-IoT device needs to be equipped with much higher clock frequency, i.e., </w:t>
      </w:r>
      <w:r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  <w:t>5</w:t>
      </w:r>
      <w:r>
        <w:rPr>
          <w:rFonts w:eastAsia="宋体" w:hint="eastAsia"/>
          <w:b w:val="0"/>
          <w:bCs w:val="0"/>
          <w:i w:val="0"/>
          <w:iCs w:val="0"/>
          <w:color w:val="000000"/>
          <w:kern w:val="0"/>
          <w:lang w:val="en-US" w:eastAsia="zh-CN" w:bidi="ar"/>
        </w:rPr>
        <w:t xml:space="preserve">~7MHz, as it is highlighted in Table 1. Thus, the device complexity, cost, and power </w:t>
      </w:r>
      <w:r>
        <w:rPr>
          <w:rFonts w:eastAsia="宋体" w:hint="eastAsia"/>
          <w:b w:val="0"/>
          <w:bCs w:val="0"/>
          <w:i w:val="0"/>
          <w:iCs w:val="0"/>
          <w:color w:val="000000"/>
          <w:kern w:val="0"/>
          <w:lang w:val="en-US" w:eastAsia="zh-CN" w:bidi="ar"/>
        </w:rPr>
        <w:t>consumption would increase accordingly, which is beyond target device type in Rel-19 WI. Hence, FEC should be disabled when a peak data rate comparable with other technologies is pursued. And the pea</w:t>
      </w:r>
      <w:r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  <w:t>k</w:t>
      </w:r>
      <w:r>
        <w:rPr>
          <w:rFonts w:eastAsia="宋体" w:hint="eastAsia"/>
          <w:b w:val="0"/>
          <w:bCs w:val="0"/>
          <w:i w:val="0"/>
          <w:iCs w:val="0"/>
          <w:color w:val="000000"/>
          <w:kern w:val="0"/>
          <w:lang w:val="en-US" w:eastAsia="zh-CN" w:bidi="ar"/>
        </w:rPr>
        <w:t>/higher data rate can be used in the scenarios with suff</w:t>
      </w:r>
      <w:r>
        <w:rPr>
          <w:rFonts w:eastAsia="宋体" w:hint="eastAsia"/>
          <w:b w:val="0"/>
          <w:bCs w:val="0"/>
          <w:i w:val="0"/>
          <w:iCs w:val="0"/>
          <w:color w:val="000000"/>
          <w:kern w:val="0"/>
          <w:lang w:val="en-US" w:eastAsia="zh-CN" w:bidi="ar"/>
        </w:rPr>
        <w:t>icient</w:t>
      </w:r>
      <w:r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  <w:t>ly</w:t>
      </w:r>
      <w:r>
        <w:rPr>
          <w:rFonts w:eastAsia="宋体" w:hint="eastAsia"/>
          <w:b w:val="0"/>
          <w:bCs w:val="0"/>
          <w:i w:val="0"/>
          <w:iCs w:val="0"/>
          <w:color w:val="000000"/>
          <w:kern w:val="0"/>
          <w:lang w:val="en-US" w:eastAsia="zh-CN" w:bidi="ar"/>
        </w:rPr>
        <w:t xml:space="preserve"> good coverage, which can be based on R2D  indication by reader.</w:t>
      </w:r>
    </w:p>
    <w:p w:rsidR="00177461" w:rsidRDefault="00384AB8">
      <w:pPr>
        <w:pStyle w:val="YJ-Observation"/>
        <w:spacing w:before="120" w:after="120"/>
        <w:jc w:val="both"/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</w:pPr>
      <w:r>
        <w:rPr>
          <w:rFonts w:hint="eastAsia"/>
          <w:lang w:val="en-US" w:eastAsia="zh-CN"/>
        </w:rPr>
        <w:t>If convolutional code is always mandatory, the A-IoT device needs to be equipped with much higher clock frequency, i.e., 5~7MHz, which would increase device complexity, cost, and powe</w:t>
      </w:r>
      <w:r>
        <w:rPr>
          <w:rFonts w:hint="eastAsia"/>
          <w:lang w:val="en-US" w:eastAsia="zh-CN"/>
        </w:rPr>
        <w:t>r consumption.</w:t>
      </w:r>
    </w:p>
    <w:p w:rsidR="00177461" w:rsidRDefault="00384AB8">
      <w:pPr>
        <w:pStyle w:val="YJ-Proposal"/>
        <w:numPr>
          <w:ilvl w:val="0"/>
          <w:numId w:val="0"/>
        </w:numPr>
        <w:spacing w:beforeLines="0" w:afterLines="0" w:after="120" w:line="240" w:lineRule="auto"/>
        <w:jc w:val="center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Table 1 D2R transmission bandwidth and data rate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936"/>
        <w:gridCol w:w="1923"/>
        <w:gridCol w:w="1930"/>
        <w:gridCol w:w="1930"/>
        <w:gridCol w:w="1931"/>
      </w:tblGrid>
      <w:tr w:rsidR="00177461">
        <w:trPr>
          <w:trHeight w:val="915"/>
        </w:trPr>
        <w:tc>
          <w:tcPr>
            <w:tcW w:w="1975" w:type="dxa"/>
          </w:tcPr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D2R transmission bandwidth (double sideband, kHz)</w:t>
            </w:r>
          </w:p>
        </w:tc>
        <w:tc>
          <w:tcPr>
            <w:tcW w:w="1975" w:type="dxa"/>
          </w:tcPr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  <w:rPr>
                <w:color w:val="000000"/>
                <w:kern w:val="0"/>
                <w:sz w:val="20"/>
                <w:lang w:bidi="ar"/>
              </w:rPr>
            </w:pPr>
            <w:r>
              <w:rPr>
                <w:color w:val="000000"/>
                <w:kern w:val="0"/>
                <w:sz w:val="20"/>
                <w:lang w:bidi="ar"/>
              </w:rPr>
              <w:t>Chip duration</w:t>
            </w:r>
          </w:p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(without small frequency shift,µs)</w:t>
            </w:r>
          </w:p>
        </w:tc>
        <w:tc>
          <w:tcPr>
            <w:tcW w:w="1975" w:type="dxa"/>
          </w:tcPr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  <w:rPr>
                <w:color w:val="000000"/>
                <w:kern w:val="0"/>
                <w:sz w:val="20"/>
                <w:lang w:bidi="ar"/>
              </w:rPr>
            </w:pPr>
            <w:r>
              <w:rPr>
                <w:color w:val="000000"/>
                <w:kern w:val="0"/>
                <w:sz w:val="20"/>
                <w:lang w:bidi="ar"/>
              </w:rPr>
              <w:t xml:space="preserve">Data rate (kbps) </w:t>
            </w:r>
          </w:p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with Manchester code</w:t>
            </w:r>
          </w:p>
        </w:tc>
        <w:tc>
          <w:tcPr>
            <w:tcW w:w="1975" w:type="dxa"/>
          </w:tcPr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  <w:rPr>
                <w:color w:val="000000"/>
                <w:kern w:val="0"/>
                <w:sz w:val="20"/>
                <w:lang w:bidi="ar"/>
              </w:rPr>
            </w:pPr>
            <w:r>
              <w:rPr>
                <w:color w:val="000000"/>
                <w:kern w:val="0"/>
                <w:sz w:val="20"/>
                <w:lang w:bidi="ar"/>
              </w:rPr>
              <w:t>Data rate (kbps)</w:t>
            </w:r>
          </w:p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with Manchester code</w:t>
            </w:r>
          </w:p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+1/2 CC</w:t>
            </w:r>
          </w:p>
        </w:tc>
        <w:tc>
          <w:tcPr>
            <w:tcW w:w="1976" w:type="dxa"/>
          </w:tcPr>
          <w:p w:rsidR="00177461" w:rsidRDefault="00384AB8">
            <w:pPr>
              <w:spacing w:beforeLines="0" w:afterLines="0" w:after="0" w:line="240" w:lineRule="auto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Data rat</w:t>
            </w:r>
            <w:r>
              <w:rPr>
                <w:color w:val="000000"/>
                <w:kern w:val="0"/>
                <w:sz w:val="20"/>
                <w:lang w:bidi="ar"/>
              </w:rPr>
              <w:t>e (kbps) with Manchester code+1/3 CC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15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133.33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3.75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1.875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1.25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1920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1.04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480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240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160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highlight w:val="yellow"/>
                <w:lang w:bidi="ar"/>
              </w:rPr>
              <w:t>2580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0.78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highlight w:val="yellow"/>
                <w:lang w:bidi="ar"/>
              </w:rPr>
              <w:t>645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322.5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215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3840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0.52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960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480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320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4500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0.44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1125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562.5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375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highlight w:val="yellow"/>
                <w:lang w:bidi="ar"/>
              </w:rPr>
              <w:t>5250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0.38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1312.5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highlight w:val="yellow"/>
                <w:lang w:bidi="ar"/>
              </w:rPr>
              <w:t>656.25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437.5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6000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0.33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1500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750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500</w:t>
            </w:r>
          </w:p>
        </w:tc>
      </w:tr>
      <w:tr w:rsidR="00177461"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highlight w:val="yellow"/>
                <w:lang w:bidi="ar"/>
              </w:rPr>
              <w:t>7680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0.26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1920</w:t>
            </w:r>
          </w:p>
        </w:tc>
        <w:tc>
          <w:tcPr>
            <w:tcW w:w="1975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lang w:bidi="ar"/>
              </w:rPr>
              <w:t>960</w:t>
            </w:r>
          </w:p>
        </w:tc>
        <w:tc>
          <w:tcPr>
            <w:tcW w:w="1976" w:type="dxa"/>
          </w:tcPr>
          <w:p w:rsidR="00177461" w:rsidRDefault="00384AB8">
            <w:pPr>
              <w:spacing w:before="120" w:after="120"/>
              <w:jc w:val="center"/>
              <w:textAlignment w:val="top"/>
            </w:pPr>
            <w:r>
              <w:rPr>
                <w:color w:val="000000"/>
                <w:kern w:val="0"/>
                <w:sz w:val="20"/>
                <w:highlight w:val="yellow"/>
                <w:lang w:bidi="ar"/>
              </w:rPr>
              <w:t>640</w:t>
            </w:r>
          </w:p>
        </w:tc>
      </w:tr>
    </w:tbl>
    <w:p w:rsidR="00177461" w:rsidRDefault="00177461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</w:p>
    <w:p w:rsidR="00177461" w:rsidRDefault="00384AB8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FEC in D2R can</w:t>
      </w:r>
      <w:r>
        <w:rPr>
          <w:rFonts w:hint="eastAsia"/>
          <w:lang w:val="en-US" w:eastAsia="zh-CN"/>
        </w:rPr>
        <w:t xml:space="preserve"> be disabled by reader.</w:t>
      </w:r>
    </w:p>
    <w:p w:rsidR="00177461" w:rsidRDefault="00384AB8">
      <w:pPr>
        <w:pStyle w:val="a9"/>
        <w:spacing w:before="120"/>
      </w:pPr>
      <w:r>
        <w:rPr>
          <w:rFonts w:hint="eastAsia"/>
        </w:rPr>
        <w:t>Another issue is whether to support flexible FEC coding rate than the 1/3 mother code rate of convolutional code. In our view, supporting other code rate, such as 1/2, can offer higher resource efficiency when the coverage allows. M</w:t>
      </w:r>
      <w:r>
        <w:rPr>
          <w:rFonts w:hint="eastAsia"/>
        </w:rPr>
        <w:t>eanwhile, it offers coding gain than simple repetition without FEC.</w:t>
      </w:r>
    </w:p>
    <w:p w:rsidR="00177461" w:rsidRDefault="00384AB8">
      <w:pPr>
        <w:pStyle w:val="YJ-Observation"/>
        <w:spacing w:before="120" w:after="120"/>
        <w:jc w:val="both"/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</w:pPr>
      <w:r>
        <w:rPr>
          <w:rFonts w:hint="eastAsia"/>
          <w:lang w:val="en-US" w:eastAsia="zh-CN"/>
        </w:rPr>
        <w:lastRenderedPageBreak/>
        <w:t>Supporting other FEC code rate, such as 1/2, can offer higher resource efficiency when the coverage allows. Meanwhile, it offers coding gain than simple repetition without FEC.</w:t>
      </w:r>
    </w:p>
    <w:p w:rsidR="00177461" w:rsidRDefault="00384AB8">
      <w:pPr>
        <w:pStyle w:val="YJ-Proposal"/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Support FEC</w:t>
      </w:r>
      <w:r>
        <w:rPr>
          <w:rFonts w:hint="eastAsia"/>
          <w:lang w:val="en-US" w:eastAsia="zh-CN"/>
        </w:rPr>
        <w:t xml:space="preserve"> coding rate of 1/2 by puncturing.</w:t>
      </w:r>
    </w:p>
    <w:p w:rsidR="00177461" w:rsidRDefault="00177461">
      <w:pPr>
        <w:pStyle w:val="YJ-Proposal"/>
        <w:numPr>
          <w:ilvl w:val="0"/>
          <w:numId w:val="0"/>
        </w:numPr>
        <w:spacing w:before="120" w:after="120"/>
        <w:jc w:val="both"/>
        <w:rPr>
          <w:lang w:val="en-US" w:eastAsia="zh-CN"/>
        </w:rPr>
      </w:pPr>
    </w:p>
    <w:p w:rsidR="00177461" w:rsidRDefault="00384AB8">
      <w:pPr>
        <w:pStyle w:val="2"/>
        <w:spacing w:before="120" w:after="120" w:line="260" w:lineRule="auto"/>
        <w:ind w:left="0" w:right="210"/>
        <w:jc w:val="left"/>
      </w:pPr>
      <w:r>
        <w:rPr>
          <w:rFonts w:eastAsia="宋体"/>
        </w:rPr>
        <w:t>Temporary identifier for A-IoT paging</w:t>
      </w:r>
    </w:p>
    <w:p w:rsidR="00177461" w:rsidRDefault="00384AB8">
      <w:pPr>
        <w:pStyle w:val="YJ-Proposal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b w:val="0"/>
          <w:bCs w:val="0"/>
          <w:i w:val="0"/>
          <w:iCs w:val="0"/>
          <w:lang w:val="en-US" w:eastAsia="zh-CN"/>
        </w:rPr>
        <w:t>In the A-IoT WID, it is assumed that “Temporary identifier is not supported, unless required by SA WGs.</w:t>
      </w:r>
      <w:r>
        <w:rPr>
          <w:b w:val="0"/>
          <w:bCs w:val="0"/>
          <w:i w:val="0"/>
          <w:iCs w:val="0"/>
          <w:lang w:val="en-US" w:eastAsia="zh-CN"/>
        </w:rPr>
        <w:t xml:space="preserve">”. Subsequent to this, SA WGs discussed this issue and informed RAN2 that temporary identifier is supported as follows: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7461">
        <w:tc>
          <w:tcPr>
            <w:tcW w:w="9650" w:type="dxa"/>
          </w:tcPr>
          <w:p w:rsidR="00177461" w:rsidRDefault="00384AB8">
            <w:pPr>
              <w:spacing w:before="120" w:after="12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The following aspects and principles are agreed for the conclusion on KI#3</w:t>
            </w:r>
          </w:p>
          <w:p w:rsidR="00177461" w:rsidRDefault="00384AB8">
            <w:pPr>
              <w:pStyle w:val="B1"/>
              <w:spacing w:before="120" w:after="120"/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 xml:space="preserve">A mechanism to protect AIoT device ID based on the use of </w:t>
            </w:r>
            <w:r>
              <w:rPr>
                <w:highlight w:val="yellow"/>
              </w:rPr>
              <w:t>temporary ID shall be supported.</w:t>
            </w:r>
          </w:p>
          <w:p w:rsidR="00177461" w:rsidRDefault="00384AB8">
            <w:pPr>
              <w:pStyle w:val="B1"/>
              <w:spacing w:before="120" w:after="120"/>
            </w:pPr>
            <w:r>
              <w:t>-</w:t>
            </w:r>
            <w:r>
              <w:tab/>
              <w:t>Mechanism shall allow unambiguous identification of the AIoT device</w:t>
            </w:r>
          </w:p>
          <w:p w:rsidR="00177461" w:rsidRDefault="00384AB8">
            <w:pPr>
              <w:pStyle w:val="B1"/>
              <w:spacing w:before="120" w:after="120"/>
            </w:pPr>
            <w:r>
              <w:t>-</w:t>
            </w:r>
            <w:r>
              <w:tab/>
              <w:t>A mechanism to re-synchronize de-synchronized temporary IDs shall be supported.</w:t>
            </w:r>
          </w:p>
        </w:tc>
      </w:tr>
    </w:tbl>
    <w:p w:rsidR="00177461" w:rsidRDefault="00384AB8">
      <w:pPr>
        <w:pStyle w:val="YJ-Proposal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b w:val="0"/>
          <w:bCs w:val="0"/>
          <w:i w:val="0"/>
          <w:iCs w:val="0"/>
          <w:lang w:val="en-US" w:eastAsia="zh-CN"/>
        </w:rPr>
        <w:t>Thus, it is clear that use of temporary ID for the device will be supp</w:t>
      </w:r>
      <w:r>
        <w:rPr>
          <w:b w:val="0"/>
          <w:bCs w:val="0"/>
          <w:i w:val="0"/>
          <w:iCs w:val="0"/>
          <w:lang w:val="en-US" w:eastAsia="zh-CN"/>
        </w:rPr>
        <w:t>orted from upper layer perspective. However, from RAN perspective, this should have no impact to the general design. RAN2 procedures support only inventory and inventory+command use cases. So, the mechanisms to use and update the temporary ID at the UE fro</w:t>
      </w:r>
      <w:r>
        <w:rPr>
          <w:b w:val="0"/>
          <w:bCs w:val="0"/>
          <w:i w:val="0"/>
          <w:iCs w:val="0"/>
          <w:lang w:val="en-US" w:eastAsia="zh-CN"/>
        </w:rPr>
        <w:t xml:space="preserve">m NAS perspective will have to use the command procedure. Thus, the allocation and maintenance of temporary ID in NAS should be transparent to AS procedures. Thus, the sentence in A-IoT WID about temporary ID can simply be removed. </w:t>
      </w:r>
    </w:p>
    <w:p w:rsidR="00177461" w:rsidRDefault="00384AB8">
      <w:pPr>
        <w:pStyle w:val="YJ-Proposal"/>
        <w:spacing w:before="120" w:after="120"/>
        <w:rPr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 xml:space="preserve">Remove the sentence in </w:t>
      </w:r>
      <w:r>
        <w:rPr>
          <w:rFonts w:hint="eastAsia"/>
          <w:lang w:val="en-US" w:eastAsia="zh-CN"/>
        </w:rPr>
        <w:t xml:space="preserve">WID that says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Temporary identifier is not supported, unless required by SA WGs.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- with the understanding that the NAS procedures for temporary ID management are transparent to AS and can be implemented using command procedure in AS.</w:t>
      </w:r>
    </w:p>
    <w:p w:rsidR="00177461" w:rsidRDefault="00177461">
      <w:pPr>
        <w:pStyle w:val="YJ-Proposal"/>
        <w:numPr>
          <w:ilvl w:val="0"/>
          <w:numId w:val="0"/>
        </w:numPr>
        <w:spacing w:before="120" w:after="120"/>
        <w:jc w:val="both"/>
        <w:rPr>
          <w:lang w:val="en-US" w:eastAsia="zh-CN"/>
        </w:rPr>
      </w:pPr>
    </w:p>
    <w:p w:rsidR="00177461" w:rsidRDefault="00384AB8">
      <w:pPr>
        <w:pStyle w:val="2"/>
        <w:spacing w:before="120" w:after="120" w:line="260" w:lineRule="auto"/>
        <w:ind w:left="0" w:right="210"/>
        <w:jc w:val="left"/>
      </w:pPr>
      <w:r>
        <w:rPr>
          <w:rFonts w:eastAsia="宋体" w:hint="eastAsia"/>
        </w:rPr>
        <w:t>A-IoT specification</w:t>
      </w:r>
    </w:p>
    <w:p w:rsidR="00177461" w:rsidRDefault="00384AB8">
      <w:pPr>
        <w:pStyle w:val="YJ-Proposal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Discussion about how to capture A-IoT specification in RAN1</w:t>
      </w:r>
      <w:r>
        <w:rPr>
          <w:b w:val="0"/>
          <w:bCs w:val="0"/>
          <w:i w:val="0"/>
          <w:iCs w:val="0"/>
          <w:lang w:val="en-US" w:eastAsia="zh-CN"/>
        </w:rPr>
        <w:t>,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RAN2 and</w:t>
      </w:r>
      <w:r>
        <w:rPr>
          <w:b w:val="0"/>
          <w:bCs w:val="0"/>
          <w:i w:val="0"/>
          <w:iCs w:val="0"/>
          <w:lang w:val="en-US" w:eastAsia="zh-CN"/>
        </w:rPr>
        <w:t xml:space="preserve"> RAN3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is needed according to the following note in WID.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177461">
        <w:tc>
          <w:tcPr>
            <w:tcW w:w="9876" w:type="dxa"/>
          </w:tcPr>
          <w:p w:rsidR="00177461" w:rsidRDefault="00384AB8">
            <w:pPr>
              <w:pStyle w:val="YJ-Proposal"/>
              <w:numPr>
                <w:ilvl w:val="0"/>
                <w:numId w:val="0"/>
              </w:numPr>
              <w:spacing w:before="120" w:after="120"/>
              <w:jc w:val="both"/>
              <w:rPr>
                <w:b w:val="0"/>
                <w:bCs w:val="0"/>
                <w:i w:val="0"/>
                <w:iCs w:val="0"/>
                <w:lang w:val="en-US" w:eastAsia="zh-CN"/>
              </w:rPr>
            </w:pPr>
            <w:r>
              <w:rPr>
                <w:b w:val="0"/>
                <w:bCs w:val="0"/>
                <w:i w:val="0"/>
                <w:iCs w:val="0"/>
              </w:rPr>
              <w:t>Note: whether a new specification in 38 series will be used instead will be decided at RAN#107</w:t>
            </w:r>
          </w:p>
        </w:tc>
      </w:tr>
    </w:tbl>
    <w:p w:rsidR="00177461" w:rsidRDefault="00384AB8">
      <w:pPr>
        <w:pStyle w:val="YJ-Proposal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b w:val="0"/>
          <w:bCs w:val="0"/>
          <w:i w:val="0"/>
          <w:iCs w:val="0"/>
          <w:lang w:val="en-US" w:eastAsia="zh-CN"/>
        </w:rPr>
        <w:t>In general, it should be possible for A-IoT technology to evolve independently from other NR features. For topology 1, A-IoT operation is totally independent to other NR features. However, from Rel-20, with topology 2, there will be some inter-dependencies</w:t>
      </w:r>
      <w:r>
        <w:rPr>
          <w:b w:val="0"/>
          <w:bCs w:val="0"/>
          <w:i w:val="0"/>
          <w:iCs w:val="0"/>
          <w:lang w:val="en-US" w:eastAsia="zh-CN"/>
        </w:rPr>
        <w:t xml:space="preserve"> with RRC especially for Uu operation to control the UE based reader. Given this situation, it is possible either to have separate specs for A-IoT or to reuse the existing specs. However, if existing specs are used for A-IoT, it should be captured in such </w:t>
      </w:r>
      <w:r>
        <w:rPr>
          <w:b w:val="0"/>
          <w:bCs w:val="0"/>
          <w:i w:val="0"/>
          <w:iCs w:val="0"/>
          <w:lang w:val="en-US" w:eastAsia="zh-CN"/>
        </w:rPr>
        <w:t>a way that the NR procedures are not applicable to A-IoT. For instance in MAC spec, when the MAC entity is referenced, it should be clear that this is not referring to an A-IoT MAC entity, Similarly in case of NGAP specs, RAN3 has achieved a working assump</w:t>
      </w:r>
      <w:r>
        <w:rPr>
          <w:b w:val="0"/>
          <w:bCs w:val="0"/>
          <w:i w:val="0"/>
          <w:iCs w:val="0"/>
          <w:lang w:val="en-US" w:eastAsia="zh-CN"/>
        </w:rPr>
        <w:t xml:space="preserve">tion to include AIoTF information in NGAP. Similar approach to include A-IoT functionality can also be adopted for other specs too. </w:t>
      </w:r>
    </w:p>
    <w:p w:rsidR="00177461" w:rsidRDefault="00384AB8">
      <w:pPr>
        <w:pStyle w:val="YJ-Proposal"/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If existing specs are used for A-IoT, the A-IoT procedures should be captured in a separate section such that the existing NR procedures are not applicable or impacted. </w:t>
      </w:r>
    </w:p>
    <w:p w:rsidR="00177461" w:rsidRDefault="00177461">
      <w:pPr>
        <w:pStyle w:val="YJ-Proposal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</w:p>
    <w:p w:rsidR="00177461" w:rsidRDefault="00384AB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 w:rsidR="00177461" w:rsidRDefault="00384AB8">
      <w:pPr>
        <w:spacing w:before="120" w:after="120"/>
        <w:rPr>
          <w:sz w:val="20"/>
        </w:rPr>
      </w:pPr>
      <w:r>
        <w:rPr>
          <w:sz w:val="20"/>
        </w:rPr>
        <w:t>Based on the above</w:t>
      </w:r>
      <w:r>
        <w:rPr>
          <w:rFonts w:hint="eastAsia"/>
          <w:sz w:val="20"/>
        </w:rPr>
        <w:t xml:space="preserve"> </w:t>
      </w:r>
      <w:r>
        <w:rPr>
          <w:sz w:val="20"/>
        </w:rPr>
        <w:t>discussion about Rel-</w:t>
      </w:r>
      <w:r>
        <w:rPr>
          <w:rFonts w:hint="eastAsia"/>
          <w:sz w:val="20"/>
        </w:rPr>
        <w:t>19</w:t>
      </w:r>
      <w:r>
        <w:rPr>
          <w:sz w:val="20"/>
        </w:rPr>
        <w:t xml:space="preserve"> </w:t>
      </w:r>
      <w:r>
        <w:rPr>
          <w:rFonts w:hint="eastAsia"/>
          <w:sz w:val="20"/>
        </w:rPr>
        <w:t>A-IoT</w:t>
      </w:r>
      <w:r>
        <w:rPr>
          <w:sz w:val="20"/>
        </w:rPr>
        <w:t>, we have the following ob</w:t>
      </w:r>
      <w:r>
        <w:rPr>
          <w:sz w:val="20"/>
        </w:rPr>
        <w:t>servations and proposals:</w:t>
      </w:r>
    </w:p>
    <w:p w:rsidR="00177461" w:rsidRDefault="00384AB8">
      <w:pPr>
        <w:pStyle w:val="YJ-Observation"/>
        <w:numPr>
          <w:ilvl w:val="0"/>
          <w:numId w:val="9"/>
        </w:numPr>
        <w:spacing w:before="120" w:after="120"/>
        <w:rPr>
          <w:lang w:val="en-US" w:eastAsia="zh-CN"/>
        </w:rPr>
      </w:pPr>
      <w:r>
        <w:rPr>
          <w:lang w:val="en-US" w:eastAsia="zh-CN"/>
        </w:rPr>
        <w:t>WID</w:t>
      </w:r>
      <w:r>
        <w:rPr>
          <w:rFonts w:hint="eastAsia"/>
          <w:lang w:val="en-US" w:eastAsia="zh-CN"/>
        </w:rPr>
        <w:t>/TR38.679</w:t>
      </w:r>
      <w:r>
        <w:rPr>
          <w:lang w:val="en-US" w:eastAsia="zh-CN"/>
        </w:rPr>
        <w:t xml:space="preserve"> doesn’t mandate to always enable FEC in D2R</w:t>
      </w:r>
      <w:r>
        <w:rPr>
          <w:rFonts w:hint="eastAsia"/>
          <w:lang w:val="en-US" w:eastAsia="zh-CN"/>
        </w:rPr>
        <w:t>.</w:t>
      </w:r>
    </w:p>
    <w:p w:rsidR="00177461" w:rsidRDefault="00384AB8">
      <w:pPr>
        <w:pStyle w:val="YJ-Observation"/>
        <w:spacing w:before="120" w:after="120"/>
        <w:jc w:val="both"/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</w:pPr>
      <w:r>
        <w:rPr>
          <w:rFonts w:hint="eastAsia"/>
          <w:lang w:val="en-US" w:eastAsia="zh-CN"/>
        </w:rPr>
        <w:lastRenderedPageBreak/>
        <w:t>If convolutional code is always mandatory, the A-IoT device needs to be equipped with much higher clock frequency, i.e., 5~7MHz, which would increase device complexity, cos</w:t>
      </w:r>
      <w:r>
        <w:rPr>
          <w:rFonts w:hint="eastAsia"/>
          <w:lang w:val="en-US" w:eastAsia="zh-CN"/>
        </w:rPr>
        <w:t>t, and power consumption.</w:t>
      </w:r>
    </w:p>
    <w:p w:rsidR="00177461" w:rsidRDefault="00384AB8">
      <w:pPr>
        <w:pStyle w:val="YJ-Observation"/>
        <w:spacing w:before="120" w:after="120"/>
        <w:jc w:val="both"/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</w:pPr>
      <w:r>
        <w:rPr>
          <w:rFonts w:hint="eastAsia"/>
          <w:lang w:val="en-US" w:eastAsia="zh-CN"/>
        </w:rPr>
        <w:t>Supporting other FEC code rate, such as 1/2, can offer higher resource efficiency when the coverage allows. Meanwhile, it offers coding gain than simple repetition without FEC.</w:t>
      </w:r>
    </w:p>
    <w:p w:rsidR="00177461" w:rsidRDefault="00177461">
      <w:pPr>
        <w:pStyle w:val="YJ-Observation"/>
        <w:numPr>
          <w:ilvl w:val="0"/>
          <w:numId w:val="0"/>
        </w:numPr>
        <w:tabs>
          <w:tab w:val="clear" w:pos="0"/>
        </w:tabs>
        <w:spacing w:before="120" w:after="120"/>
        <w:jc w:val="both"/>
        <w:rPr>
          <w:rFonts w:eastAsia="宋体"/>
          <w:b w:val="0"/>
          <w:bCs w:val="0"/>
          <w:i w:val="0"/>
          <w:iCs w:val="0"/>
          <w:color w:val="000000"/>
          <w:kern w:val="0"/>
          <w:lang w:val="en-US" w:eastAsia="zh-CN" w:bidi="ar"/>
        </w:rPr>
      </w:pPr>
    </w:p>
    <w:p w:rsidR="00177461" w:rsidRDefault="00177461">
      <w:pPr>
        <w:pStyle w:val="YJ-Observation"/>
        <w:numPr>
          <w:ilvl w:val="0"/>
          <w:numId w:val="0"/>
        </w:numPr>
        <w:tabs>
          <w:tab w:val="clear" w:pos="0"/>
        </w:tabs>
        <w:spacing w:before="120" w:after="120"/>
        <w:rPr>
          <w:lang w:val="en-US" w:eastAsia="zh-CN"/>
        </w:rPr>
      </w:pPr>
    </w:p>
    <w:p w:rsidR="00177461" w:rsidRDefault="00384AB8">
      <w:pPr>
        <w:pStyle w:val="YJ-Proposal"/>
        <w:numPr>
          <w:ilvl w:val="0"/>
          <w:numId w:val="10"/>
        </w:numPr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FEC in D2R can be disabled by reader.</w:t>
      </w:r>
    </w:p>
    <w:p w:rsidR="00177461" w:rsidRDefault="00384AB8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Support FEC c</w:t>
      </w:r>
      <w:r>
        <w:rPr>
          <w:rFonts w:hint="eastAsia"/>
          <w:lang w:val="en-US" w:eastAsia="zh-CN"/>
        </w:rPr>
        <w:t>oding rate of 1/2 by puncturing.</w:t>
      </w:r>
    </w:p>
    <w:p w:rsidR="00177461" w:rsidRDefault="00384AB8">
      <w:pPr>
        <w:pStyle w:val="YJ-Proposal"/>
        <w:spacing w:before="120" w:after="120"/>
        <w:rPr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 xml:space="preserve">Remove the sentence in WID that says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Temporary identifier is not supported, unless required by SA WGs.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- with the understanding that the NAS procedures for temporary ID management are transparent to AS and can be implemen</w:t>
      </w:r>
      <w:r>
        <w:rPr>
          <w:rFonts w:hint="eastAsia"/>
          <w:lang w:val="en-US" w:eastAsia="zh-CN"/>
        </w:rPr>
        <w:t>ted using command procedure in AS.</w:t>
      </w:r>
    </w:p>
    <w:p w:rsidR="00177461" w:rsidRDefault="00384AB8">
      <w:pPr>
        <w:pStyle w:val="YJ-Proposal"/>
        <w:numPr>
          <w:ilvl w:val="0"/>
          <w:numId w:val="10"/>
        </w:numPr>
        <w:spacing w:before="120" w:after="120"/>
      </w:pPr>
      <w:r>
        <w:rPr>
          <w:lang w:val="en-US" w:eastAsia="zh-CN"/>
        </w:rPr>
        <w:t>If existing specs are used for A-IoT, the A-IoT procedures should be captured in a separate section such that the existing NR procedures are not applicable or impacted.</w:t>
      </w:r>
    </w:p>
    <w:p w:rsidR="00177461" w:rsidRDefault="00177461">
      <w:pPr>
        <w:pStyle w:val="YJ-Proposal"/>
        <w:numPr>
          <w:ilvl w:val="255"/>
          <w:numId w:val="0"/>
        </w:numPr>
        <w:spacing w:beforeLines="0" w:before="120" w:afterLines="0" w:after="120" w:line="240" w:lineRule="auto"/>
        <w:jc w:val="both"/>
        <w:rPr>
          <w:lang w:val="en-US" w:eastAsia="zh-CN"/>
        </w:rPr>
      </w:pPr>
    </w:p>
    <w:p w:rsidR="00177461" w:rsidRDefault="00384AB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177461" w:rsidRDefault="00384AB8">
      <w:pPr>
        <w:numPr>
          <w:ilvl w:val="0"/>
          <w:numId w:val="11"/>
        </w:numPr>
        <w:adjustRightInd w:val="0"/>
        <w:snapToGrid w:val="0"/>
        <w:spacing w:beforeLines="0" w:afterLines="0" w:after="120" w:line="240" w:lineRule="auto"/>
        <w:rPr>
          <w:sz w:val="20"/>
        </w:rPr>
      </w:pPr>
      <w:r w:rsidRPr="00090702">
        <w:rPr>
          <w:rFonts w:hint="eastAsia"/>
          <w:sz w:val="20"/>
        </w:rPr>
        <w:t>RP-243326</w:t>
      </w:r>
      <w:r>
        <w:rPr>
          <w:rFonts w:hint="eastAsia"/>
          <w:sz w:val="20"/>
        </w:rPr>
        <w:t>, New Work Item: Solutions for Ambient IoT (Internet of Things) in NR, RAN#106</w:t>
      </w:r>
    </w:p>
    <w:p w:rsidR="00177461" w:rsidRDefault="00384AB8">
      <w:pPr>
        <w:numPr>
          <w:ilvl w:val="0"/>
          <w:numId w:val="11"/>
        </w:numPr>
        <w:adjustRightInd w:val="0"/>
        <w:snapToGrid w:val="0"/>
        <w:spacing w:beforeLines="0" w:afterLines="0" w:after="120" w:line="240" w:lineRule="auto"/>
        <w:rPr>
          <w:sz w:val="20"/>
        </w:rPr>
      </w:pPr>
      <w:r>
        <w:rPr>
          <w:rFonts w:hint="eastAsia"/>
          <w:sz w:val="20"/>
        </w:rPr>
        <w:t>TR38.769 V19.0.0. Study on solutions for Ambient IoT (Internet of Things) (Release 19)</w:t>
      </w:r>
    </w:p>
    <w:p w:rsidR="00177461" w:rsidRDefault="00177461">
      <w:pPr>
        <w:spacing w:before="120" w:after="120"/>
        <w:rPr>
          <w:rFonts w:ascii="Arial" w:hAnsi="Arial" w:cs="Arial"/>
          <w:sz w:val="20"/>
        </w:rPr>
      </w:pPr>
    </w:p>
    <w:p w:rsidR="00177461" w:rsidRDefault="00177461">
      <w:pPr>
        <w:spacing w:before="120" w:after="120"/>
        <w:rPr>
          <w:rFonts w:ascii="Arial" w:hAnsi="Arial" w:cs="Arial"/>
          <w:sz w:val="20"/>
        </w:rPr>
      </w:pPr>
    </w:p>
    <w:sectPr w:rsidR="001774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AB8" w:rsidRDefault="00384AB8">
      <w:pPr>
        <w:spacing w:before="120" w:after="120" w:line="240" w:lineRule="auto"/>
      </w:pPr>
      <w:r>
        <w:separator/>
      </w:r>
    </w:p>
  </w:endnote>
  <w:endnote w:type="continuationSeparator" w:id="0">
    <w:p w:rsidR="00384AB8" w:rsidRDefault="00384AB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61" w:rsidRDefault="00177461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61" w:rsidRDefault="00384AB8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177461" w:rsidRDefault="00384AB8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61" w:rsidRDefault="00177461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AB8" w:rsidRDefault="00384AB8">
      <w:pPr>
        <w:spacing w:before="120" w:after="120"/>
      </w:pPr>
      <w:r>
        <w:separator/>
      </w:r>
    </w:p>
  </w:footnote>
  <w:footnote w:type="continuationSeparator" w:id="0">
    <w:p w:rsidR="00384AB8" w:rsidRDefault="00384AB8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61" w:rsidRDefault="00177461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61" w:rsidRDefault="00177461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461" w:rsidRDefault="00177461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78FFB7E"/>
    <w:multiLevelType w:val="singleLevel"/>
    <w:tmpl w:val="578FFB7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abstractNum w:abstractNumId="8" w15:restartNumberingAfterBreak="0">
    <w:nsid w:val="77AD443B"/>
    <w:multiLevelType w:val="singleLevel"/>
    <w:tmpl w:val="77AD443B"/>
    <w:lvl w:ilvl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E4B"/>
    <w:rsid w:val="0001549F"/>
    <w:rsid w:val="00025D9D"/>
    <w:rsid w:val="00034720"/>
    <w:rsid w:val="00050423"/>
    <w:rsid w:val="00051F4E"/>
    <w:rsid w:val="000527A3"/>
    <w:rsid w:val="000529AC"/>
    <w:rsid w:val="000715B9"/>
    <w:rsid w:val="00071FB7"/>
    <w:rsid w:val="00072FB0"/>
    <w:rsid w:val="00074DCF"/>
    <w:rsid w:val="0007790D"/>
    <w:rsid w:val="00077A1A"/>
    <w:rsid w:val="00090702"/>
    <w:rsid w:val="00090D39"/>
    <w:rsid w:val="00093DF3"/>
    <w:rsid w:val="00093E67"/>
    <w:rsid w:val="000A15BE"/>
    <w:rsid w:val="000A168E"/>
    <w:rsid w:val="000A223E"/>
    <w:rsid w:val="000C00A4"/>
    <w:rsid w:val="000C1A96"/>
    <w:rsid w:val="000C7E3D"/>
    <w:rsid w:val="000D0462"/>
    <w:rsid w:val="000D08B3"/>
    <w:rsid w:val="000D627E"/>
    <w:rsid w:val="000E2433"/>
    <w:rsid w:val="000F28CA"/>
    <w:rsid w:val="001009B8"/>
    <w:rsid w:val="00103457"/>
    <w:rsid w:val="00103906"/>
    <w:rsid w:val="00105530"/>
    <w:rsid w:val="00120AF7"/>
    <w:rsid w:val="00132F21"/>
    <w:rsid w:val="00142961"/>
    <w:rsid w:val="001470AA"/>
    <w:rsid w:val="00153BF7"/>
    <w:rsid w:val="00154DBD"/>
    <w:rsid w:val="0016113B"/>
    <w:rsid w:val="001615B7"/>
    <w:rsid w:val="001632AB"/>
    <w:rsid w:val="00172A27"/>
    <w:rsid w:val="001754AE"/>
    <w:rsid w:val="00177461"/>
    <w:rsid w:val="0018654F"/>
    <w:rsid w:val="0018732E"/>
    <w:rsid w:val="00191912"/>
    <w:rsid w:val="00195F46"/>
    <w:rsid w:val="001A1539"/>
    <w:rsid w:val="001A4568"/>
    <w:rsid w:val="001B18D3"/>
    <w:rsid w:val="001B3634"/>
    <w:rsid w:val="001B3889"/>
    <w:rsid w:val="001C1894"/>
    <w:rsid w:val="001C196F"/>
    <w:rsid w:val="001D1287"/>
    <w:rsid w:val="001D2884"/>
    <w:rsid w:val="001E006E"/>
    <w:rsid w:val="001E0651"/>
    <w:rsid w:val="001E1108"/>
    <w:rsid w:val="001E125B"/>
    <w:rsid w:val="001E262F"/>
    <w:rsid w:val="001F1BB1"/>
    <w:rsid w:val="001F2AF7"/>
    <w:rsid w:val="001F415E"/>
    <w:rsid w:val="001F6C0A"/>
    <w:rsid w:val="001F6E58"/>
    <w:rsid w:val="00203B63"/>
    <w:rsid w:val="0020406B"/>
    <w:rsid w:val="00212872"/>
    <w:rsid w:val="00215D89"/>
    <w:rsid w:val="00216169"/>
    <w:rsid w:val="002240E1"/>
    <w:rsid w:val="00224A1A"/>
    <w:rsid w:val="00227DF5"/>
    <w:rsid w:val="002320CA"/>
    <w:rsid w:val="00233A02"/>
    <w:rsid w:val="002401EC"/>
    <w:rsid w:val="00243B44"/>
    <w:rsid w:val="00244ABB"/>
    <w:rsid w:val="00244FC6"/>
    <w:rsid w:val="00247A67"/>
    <w:rsid w:val="00251814"/>
    <w:rsid w:val="002546A5"/>
    <w:rsid w:val="00256B05"/>
    <w:rsid w:val="00261BCE"/>
    <w:rsid w:val="00261C72"/>
    <w:rsid w:val="0026766E"/>
    <w:rsid w:val="00270F8C"/>
    <w:rsid w:val="002748A9"/>
    <w:rsid w:val="00282069"/>
    <w:rsid w:val="00283A0A"/>
    <w:rsid w:val="00285965"/>
    <w:rsid w:val="0029516D"/>
    <w:rsid w:val="00297949"/>
    <w:rsid w:val="002A3D98"/>
    <w:rsid w:val="002B4661"/>
    <w:rsid w:val="002C4448"/>
    <w:rsid w:val="002C68AC"/>
    <w:rsid w:val="002C7CCD"/>
    <w:rsid w:val="002D2CE9"/>
    <w:rsid w:val="002D5550"/>
    <w:rsid w:val="002F0E7A"/>
    <w:rsid w:val="002F2535"/>
    <w:rsid w:val="002F2C7F"/>
    <w:rsid w:val="002F3FAB"/>
    <w:rsid w:val="002F5687"/>
    <w:rsid w:val="002F5A8D"/>
    <w:rsid w:val="00300D72"/>
    <w:rsid w:val="00302F20"/>
    <w:rsid w:val="00303936"/>
    <w:rsid w:val="00314748"/>
    <w:rsid w:val="00316046"/>
    <w:rsid w:val="00317501"/>
    <w:rsid w:val="00322EE2"/>
    <w:rsid w:val="00325902"/>
    <w:rsid w:val="003275A3"/>
    <w:rsid w:val="00331B70"/>
    <w:rsid w:val="00332D30"/>
    <w:rsid w:val="00333F44"/>
    <w:rsid w:val="0033573E"/>
    <w:rsid w:val="00335FF9"/>
    <w:rsid w:val="0034009F"/>
    <w:rsid w:val="00340631"/>
    <w:rsid w:val="00343CE4"/>
    <w:rsid w:val="00344E48"/>
    <w:rsid w:val="003466BB"/>
    <w:rsid w:val="003507A6"/>
    <w:rsid w:val="00352087"/>
    <w:rsid w:val="0035253F"/>
    <w:rsid w:val="00352EF5"/>
    <w:rsid w:val="00361D52"/>
    <w:rsid w:val="003704FF"/>
    <w:rsid w:val="00370D7F"/>
    <w:rsid w:val="00372A00"/>
    <w:rsid w:val="00373667"/>
    <w:rsid w:val="003763BF"/>
    <w:rsid w:val="00376E4B"/>
    <w:rsid w:val="00376EEB"/>
    <w:rsid w:val="00384AB8"/>
    <w:rsid w:val="003872BB"/>
    <w:rsid w:val="00387E0A"/>
    <w:rsid w:val="00396F31"/>
    <w:rsid w:val="00397BA3"/>
    <w:rsid w:val="003A1DCE"/>
    <w:rsid w:val="003A4365"/>
    <w:rsid w:val="003A6BBE"/>
    <w:rsid w:val="003A7EAD"/>
    <w:rsid w:val="003B32BD"/>
    <w:rsid w:val="003B53DF"/>
    <w:rsid w:val="003B5AC2"/>
    <w:rsid w:val="003D1DE1"/>
    <w:rsid w:val="003D44C6"/>
    <w:rsid w:val="003D5CFD"/>
    <w:rsid w:val="003E52B6"/>
    <w:rsid w:val="003E7382"/>
    <w:rsid w:val="003F430B"/>
    <w:rsid w:val="003F7415"/>
    <w:rsid w:val="004003D2"/>
    <w:rsid w:val="00405325"/>
    <w:rsid w:val="00405BDD"/>
    <w:rsid w:val="00417B25"/>
    <w:rsid w:val="004209E1"/>
    <w:rsid w:val="0042238B"/>
    <w:rsid w:val="00430FB8"/>
    <w:rsid w:val="00434E27"/>
    <w:rsid w:val="00440E60"/>
    <w:rsid w:val="00444BE9"/>
    <w:rsid w:val="00450C17"/>
    <w:rsid w:val="004527B1"/>
    <w:rsid w:val="004545A5"/>
    <w:rsid w:val="004557D2"/>
    <w:rsid w:val="004608F6"/>
    <w:rsid w:val="004724B4"/>
    <w:rsid w:val="00472B06"/>
    <w:rsid w:val="00477655"/>
    <w:rsid w:val="0048120F"/>
    <w:rsid w:val="00482706"/>
    <w:rsid w:val="0048728E"/>
    <w:rsid w:val="00490434"/>
    <w:rsid w:val="00494F95"/>
    <w:rsid w:val="004A142B"/>
    <w:rsid w:val="004A2759"/>
    <w:rsid w:val="004A5D1D"/>
    <w:rsid w:val="004A699E"/>
    <w:rsid w:val="004B44A9"/>
    <w:rsid w:val="004C1A54"/>
    <w:rsid w:val="004C47BE"/>
    <w:rsid w:val="004C4E0D"/>
    <w:rsid w:val="004C6979"/>
    <w:rsid w:val="004D2637"/>
    <w:rsid w:val="004E15A3"/>
    <w:rsid w:val="004E2D22"/>
    <w:rsid w:val="004E4B5D"/>
    <w:rsid w:val="004F5994"/>
    <w:rsid w:val="00500F45"/>
    <w:rsid w:val="00503921"/>
    <w:rsid w:val="00507A00"/>
    <w:rsid w:val="0051711C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3AD"/>
    <w:rsid w:val="00541B22"/>
    <w:rsid w:val="00546436"/>
    <w:rsid w:val="00547723"/>
    <w:rsid w:val="005571B4"/>
    <w:rsid w:val="00561FA8"/>
    <w:rsid w:val="005644F6"/>
    <w:rsid w:val="00564BCB"/>
    <w:rsid w:val="005725AF"/>
    <w:rsid w:val="00572F6E"/>
    <w:rsid w:val="00574776"/>
    <w:rsid w:val="00582184"/>
    <w:rsid w:val="0058526A"/>
    <w:rsid w:val="00591099"/>
    <w:rsid w:val="00592D88"/>
    <w:rsid w:val="0059321F"/>
    <w:rsid w:val="005932F3"/>
    <w:rsid w:val="00593818"/>
    <w:rsid w:val="005962E4"/>
    <w:rsid w:val="005A05C6"/>
    <w:rsid w:val="005A0FE9"/>
    <w:rsid w:val="005B270E"/>
    <w:rsid w:val="005B4834"/>
    <w:rsid w:val="005B77A5"/>
    <w:rsid w:val="005C4DC6"/>
    <w:rsid w:val="005C6B42"/>
    <w:rsid w:val="005D6A1C"/>
    <w:rsid w:val="005E2808"/>
    <w:rsid w:val="005E2C89"/>
    <w:rsid w:val="005F26E5"/>
    <w:rsid w:val="005F7062"/>
    <w:rsid w:val="00603844"/>
    <w:rsid w:val="00604404"/>
    <w:rsid w:val="006059E5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1393"/>
    <w:rsid w:val="00642298"/>
    <w:rsid w:val="00646EAA"/>
    <w:rsid w:val="006501AA"/>
    <w:rsid w:val="00650859"/>
    <w:rsid w:val="00650A2A"/>
    <w:rsid w:val="006536B8"/>
    <w:rsid w:val="00653F4E"/>
    <w:rsid w:val="00666C58"/>
    <w:rsid w:val="00674C9A"/>
    <w:rsid w:val="00676C72"/>
    <w:rsid w:val="0067758E"/>
    <w:rsid w:val="00677A59"/>
    <w:rsid w:val="00680FFF"/>
    <w:rsid w:val="00691376"/>
    <w:rsid w:val="006922EF"/>
    <w:rsid w:val="00694FB9"/>
    <w:rsid w:val="006A2804"/>
    <w:rsid w:val="006A2CFE"/>
    <w:rsid w:val="006A5C28"/>
    <w:rsid w:val="006B0580"/>
    <w:rsid w:val="006C2229"/>
    <w:rsid w:val="006C43C7"/>
    <w:rsid w:val="006C55B1"/>
    <w:rsid w:val="006C5D5E"/>
    <w:rsid w:val="006C69C1"/>
    <w:rsid w:val="006D11DE"/>
    <w:rsid w:val="006D3D89"/>
    <w:rsid w:val="006E01C3"/>
    <w:rsid w:val="006F4852"/>
    <w:rsid w:val="006F57BE"/>
    <w:rsid w:val="00700636"/>
    <w:rsid w:val="00701BF9"/>
    <w:rsid w:val="00702237"/>
    <w:rsid w:val="007032FE"/>
    <w:rsid w:val="007036F7"/>
    <w:rsid w:val="0070691A"/>
    <w:rsid w:val="0070693A"/>
    <w:rsid w:val="00707117"/>
    <w:rsid w:val="0071460D"/>
    <w:rsid w:val="0071482B"/>
    <w:rsid w:val="00717A38"/>
    <w:rsid w:val="00722198"/>
    <w:rsid w:val="00722950"/>
    <w:rsid w:val="0073053B"/>
    <w:rsid w:val="00735DC1"/>
    <w:rsid w:val="00737786"/>
    <w:rsid w:val="007427BB"/>
    <w:rsid w:val="007440A2"/>
    <w:rsid w:val="00745143"/>
    <w:rsid w:val="00747C56"/>
    <w:rsid w:val="007501AC"/>
    <w:rsid w:val="00753683"/>
    <w:rsid w:val="00756124"/>
    <w:rsid w:val="00762F1B"/>
    <w:rsid w:val="00765BCF"/>
    <w:rsid w:val="0076682E"/>
    <w:rsid w:val="007728A8"/>
    <w:rsid w:val="0077581A"/>
    <w:rsid w:val="0077761A"/>
    <w:rsid w:val="00784828"/>
    <w:rsid w:val="00785A2A"/>
    <w:rsid w:val="00786A2C"/>
    <w:rsid w:val="00786F84"/>
    <w:rsid w:val="00787FA9"/>
    <w:rsid w:val="007A0CD8"/>
    <w:rsid w:val="007A2857"/>
    <w:rsid w:val="007B0FD9"/>
    <w:rsid w:val="007B166E"/>
    <w:rsid w:val="007B18C1"/>
    <w:rsid w:val="007B33D8"/>
    <w:rsid w:val="007B403E"/>
    <w:rsid w:val="007B447A"/>
    <w:rsid w:val="007B458B"/>
    <w:rsid w:val="007C1010"/>
    <w:rsid w:val="007C4328"/>
    <w:rsid w:val="007C440F"/>
    <w:rsid w:val="007C47F6"/>
    <w:rsid w:val="007D2659"/>
    <w:rsid w:val="007D2C32"/>
    <w:rsid w:val="007D4A27"/>
    <w:rsid w:val="007E4A23"/>
    <w:rsid w:val="007E710C"/>
    <w:rsid w:val="007F39F4"/>
    <w:rsid w:val="00802A15"/>
    <w:rsid w:val="008036A8"/>
    <w:rsid w:val="00810C42"/>
    <w:rsid w:val="0081583C"/>
    <w:rsid w:val="00816EF3"/>
    <w:rsid w:val="008226B2"/>
    <w:rsid w:val="008266C4"/>
    <w:rsid w:val="00830F1E"/>
    <w:rsid w:val="008412CD"/>
    <w:rsid w:val="00842BFF"/>
    <w:rsid w:val="0084332A"/>
    <w:rsid w:val="00847621"/>
    <w:rsid w:val="00852635"/>
    <w:rsid w:val="0085443B"/>
    <w:rsid w:val="00857E93"/>
    <w:rsid w:val="0086098A"/>
    <w:rsid w:val="00860AD1"/>
    <w:rsid w:val="008652E8"/>
    <w:rsid w:val="00870679"/>
    <w:rsid w:val="00870E40"/>
    <w:rsid w:val="00881540"/>
    <w:rsid w:val="00886E49"/>
    <w:rsid w:val="00886EA7"/>
    <w:rsid w:val="00886F49"/>
    <w:rsid w:val="00892B4C"/>
    <w:rsid w:val="00893268"/>
    <w:rsid w:val="0089344F"/>
    <w:rsid w:val="00894520"/>
    <w:rsid w:val="00897ABC"/>
    <w:rsid w:val="008A1817"/>
    <w:rsid w:val="008A72B5"/>
    <w:rsid w:val="008B3130"/>
    <w:rsid w:val="008B363D"/>
    <w:rsid w:val="008B547D"/>
    <w:rsid w:val="008B5C48"/>
    <w:rsid w:val="008B6EF0"/>
    <w:rsid w:val="008B7F10"/>
    <w:rsid w:val="008C0445"/>
    <w:rsid w:val="008C2278"/>
    <w:rsid w:val="008D3ED9"/>
    <w:rsid w:val="008E1E4D"/>
    <w:rsid w:val="008F255E"/>
    <w:rsid w:val="008F2954"/>
    <w:rsid w:val="008F3DC8"/>
    <w:rsid w:val="00901BD8"/>
    <w:rsid w:val="00903896"/>
    <w:rsid w:val="00903A35"/>
    <w:rsid w:val="00913703"/>
    <w:rsid w:val="00920E7A"/>
    <w:rsid w:val="00922624"/>
    <w:rsid w:val="00923BDA"/>
    <w:rsid w:val="0093617A"/>
    <w:rsid w:val="009411A5"/>
    <w:rsid w:val="00942AEE"/>
    <w:rsid w:val="00946A7C"/>
    <w:rsid w:val="00947739"/>
    <w:rsid w:val="00950DB1"/>
    <w:rsid w:val="00952C83"/>
    <w:rsid w:val="00956A30"/>
    <w:rsid w:val="00957329"/>
    <w:rsid w:val="00957418"/>
    <w:rsid w:val="009610C6"/>
    <w:rsid w:val="0096194F"/>
    <w:rsid w:val="00963243"/>
    <w:rsid w:val="009648EE"/>
    <w:rsid w:val="00966682"/>
    <w:rsid w:val="00966E7D"/>
    <w:rsid w:val="00970630"/>
    <w:rsid w:val="00971A1F"/>
    <w:rsid w:val="00973243"/>
    <w:rsid w:val="009734B7"/>
    <w:rsid w:val="00975F1A"/>
    <w:rsid w:val="00983FE2"/>
    <w:rsid w:val="00986B97"/>
    <w:rsid w:val="00994A41"/>
    <w:rsid w:val="009A319E"/>
    <w:rsid w:val="009A380A"/>
    <w:rsid w:val="009A3A36"/>
    <w:rsid w:val="009A4F31"/>
    <w:rsid w:val="009B05AD"/>
    <w:rsid w:val="009B18A3"/>
    <w:rsid w:val="009B5557"/>
    <w:rsid w:val="009C6F28"/>
    <w:rsid w:val="009D5B5E"/>
    <w:rsid w:val="009D6400"/>
    <w:rsid w:val="009D6675"/>
    <w:rsid w:val="009D7770"/>
    <w:rsid w:val="009D7C12"/>
    <w:rsid w:val="009F03F7"/>
    <w:rsid w:val="009F1287"/>
    <w:rsid w:val="009F65A8"/>
    <w:rsid w:val="009F7747"/>
    <w:rsid w:val="00A00A06"/>
    <w:rsid w:val="00A00FEE"/>
    <w:rsid w:val="00A05A33"/>
    <w:rsid w:val="00A05BC1"/>
    <w:rsid w:val="00A12854"/>
    <w:rsid w:val="00A14F22"/>
    <w:rsid w:val="00A171E5"/>
    <w:rsid w:val="00A17810"/>
    <w:rsid w:val="00A212A7"/>
    <w:rsid w:val="00A21523"/>
    <w:rsid w:val="00A26720"/>
    <w:rsid w:val="00A33BD9"/>
    <w:rsid w:val="00A37C92"/>
    <w:rsid w:val="00A404DD"/>
    <w:rsid w:val="00A40C3F"/>
    <w:rsid w:val="00A4182C"/>
    <w:rsid w:val="00A50B2A"/>
    <w:rsid w:val="00A51740"/>
    <w:rsid w:val="00A54A48"/>
    <w:rsid w:val="00A551E2"/>
    <w:rsid w:val="00A56849"/>
    <w:rsid w:val="00A656E5"/>
    <w:rsid w:val="00A809DB"/>
    <w:rsid w:val="00A83C13"/>
    <w:rsid w:val="00A86EB5"/>
    <w:rsid w:val="00A91773"/>
    <w:rsid w:val="00A92854"/>
    <w:rsid w:val="00A92CA8"/>
    <w:rsid w:val="00A93B7B"/>
    <w:rsid w:val="00A94D9B"/>
    <w:rsid w:val="00A967AB"/>
    <w:rsid w:val="00A9760D"/>
    <w:rsid w:val="00AA1889"/>
    <w:rsid w:val="00AB0AAF"/>
    <w:rsid w:val="00AB251B"/>
    <w:rsid w:val="00AB5108"/>
    <w:rsid w:val="00AB6D34"/>
    <w:rsid w:val="00AC24BF"/>
    <w:rsid w:val="00AC3815"/>
    <w:rsid w:val="00AD1831"/>
    <w:rsid w:val="00AD56C4"/>
    <w:rsid w:val="00AD7FE5"/>
    <w:rsid w:val="00AE5530"/>
    <w:rsid w:val="00AF050A"/>
    <w:rsid w:val="00B031EF"/>
    <w:rsid w:val="00B07839"/>
    <w:rsid w:val="00B110EA"/>
    <w:rsid w:val="00B11405"/>
    <w:rsid w:val="00B12602"/>
    <w:rsid w:val="00B138E9"/>
    <w:rsid w:val="00B15B99"/>
    <w:rsid w:val="00B179E3"/>
    <w:rsid w:val="00B21480"/>
    <w:rsid w:val="00B245AA"/>
    <w:rsid w:val="00B34FF8"/>
    <w:rsid w:val="00B43645"/>
    <w:rsid w:val="00B51104"/>
    <w:rsid w:val="00B5181A"/>
    <w:rsid w:val="00B52BE9"/>
    <w:rsid w:val="00B54730"/>
    <w:rsid w:val="00B56091"/>
    <w:rsid w:val="00B60F6C"/>
    <w:rsid w:val="00B663FA"/>
    <w:rsid w:val="00B71B7A"/>
    <w:rsid w:val="00B72848"/>
    <w:rsid w:val="00B731A6"/>
    <w:rsid w:val="00B76824"/>
    <w:rsid w:val="00B768A1"/>
    <w:rsid w:val="00B81A95"/>
    <w:rsid w:val="00B81C3C"/>
    <w:rsid w:val="00B87AB7"/>
    <w:rsid w:val="00B9070B"/>
    <w:rsid w:val="00B9379C"/>
    <w:rsid w:val="00B96E00"/>
    <w:rsid w:val="00BA1E14"/>
    <w:rsid w:val="00BA72B7"/>
    <w:rsid w:val="00BA7674"/>
    <w:rsid w:val="00BB08C4"/>
    <w:rsid w:val="00BC0005"/>
    <w:rsid w:val="00BC4A25"/>
    <w:rsid w:val="00BD33A2"/>
    <w:rsid w:val="00BD49FA"/>
    <w:rsid w:val="00BD72A5"/>
    <w:rsid w:val="00BE22EC"/>
    <w:rsid w:val="00BE5D22"/>
    <w:rsid w:val="00BE71DB"/>
    <w:rsid w:val="00BE7970"/>
    <w:rsid w:val="00BE7A8C"/>
    <w:rsid w:val="00BF526E"/>
    <w:rsid w:val="00BF61CA"/>
    <w:rsid w:val="00BF743C"/>
    <w:rsid w:val="00BF78E9"/>
    <w:rsid w:val="00C00906"/>
    <w:rsid w:val="00C014A9"/>
    <w:rsid w:val="00C07C74"/>
    <w:rsid w:val="00C111FE"/>
    <w:rsid w:val="00C12784"/>
    <w:rsid w:val="00C16276"/>
    <w:rsid w:val="00C2142E"/>
    <w:rsid w:val="00C22FCF"/>
    <w:rsid w:val="00C2334E"/>
    <w:rsid w:val="00C2713A"/>
    <w:rsid w:val="00C34FD0"/>
    <w:rsid w:val="00C36B6D"/>
    <w:rsid w:val="00C40AA1"/>
    <w:rsid w:val="00C52664"/>
    <w:rsid w:val="00C5791E"/>
    <w:rsid w:val="00C625E3"/>
    <w:rsid w:val="00C65B20"/>
    <w:rsid w:val="00C67AE3"/>
    <w:rsid w:val="00C76271"/>
    <w:rsid w:val="00C829B3"/>
    <w:rsid w:val="00C855D2"/>
    <w:rsid w:val="00C925E7"/>
    <w:rsid w:val="00CA09F5"/>
    <w:rsid w:val="00CA0D16"/>
    <w:rsid w:val="00CA152B"/>
    <w:rsid w:val="00CB03D7"/>
    <w:rsid w:val="00CB046A"/>
    <w:rsid w:val="00CB4602"/>
    <w:rsid w:val="00CB7FB3"/>
    <w:rsid w:val="00CC01B0"/>
    <w:rsid w:val="00CC11A8"/>
    <w:rsid w:val="00CC4B0A"/>
    <w:rsid w:val="00CD5E4A"/>
    <w:rsid w:val="00CD62C4"/>
    <w:rsid w:val="00CD71E9"/>
    <w:rsid w:val="00CE058C"/>
    <w:rsid w:val="00CE32ED"/>
    <w:rsid w:val="00CF0062"/>
    <w:rsid w:val="00CF25E8"/>
    <w:rsid w:val="00CF4293"/>
    <w:rsid w:val="00D06F00"/>
    <w:rsid w:val="00D133A3"/>
    <w:rsid w:val="00D133A5"/>
    <w:rsid w:val="00D14578"/>
    <w:rsid w:val="00D17260"/>
    <w:rsid w:val="00D22C2E"/>
    <w:rsid w:val="00D24465"/>
    <w:rsid w:val="00D27BF8"/>
    <w:rsid w:val="00D30D70"/>
    <w:rsid w:val="00D30FF6"/>
    <w:rsid w:val="00D32F78"/>
    <w:rsid w:val="00D471A9"/>
    <w:rsid w:val="00D54F1B"/>
    <w:rsid w:val="00D57D7B"/>
    <w:rsid w:val="00D60DA9"/>
    <w:rsid w:val="00D63147"/>
    <w:rsid w:val="00D654E0"/>
    <w:rsid w:val="00D714E2"/>
    <w:rsid w:val="00D7289E"/>
    <w:rsid w:val="00D82CF5"/>
    <w:rsid w:val="00D838A0"/>
    <w:rsid w:val="00D8550E"/>
    <w:rsid w:val="00D871C4"/>
    <w:rsid w:val="00D8785A"/>
    <w:rsid w:val="00D91349"/>
    <w:rsid w:val="00D92E3B"/>
    <w:rsid w:val="00D93BC0"/>
    <w:rsid w:val="00D959EE"/>
    <w:rsid w:val="00DB0E95"/>
    <w:rsid w:val="00DB12AD"/>
    <w:rsid w:val="00DB26BC"/>
    <w:rsid w:val="00DC0C4F"/>
    <w:rsid w:val="00DC1213"/>
    <w:rsid w:val="00DC6E1E"/>
    <w:rsid w:val="00DC70F6"/>
    <w:rsid w:val="00DC724A"/>
    <w:rsid w:val="00DD5F49"/>
    <w:rsid w:val="00DE5E74"/>
    <w:rsid w:val="00DE66DB"/>
    <w:rsid w:val="00DF4482"/>
    <w:rsid w:val="00E05651"/>
    <w:rsid w:val="00E068AA"/>
    <w:rsid w:val="00E0780F"/>
    <w:rsid w:val="00E15DED"/>
    <w:rsid w:val="00E258FC"/>
    <w:rsid w:val="00E30348"/>
    <w:rsid w:val="00E31DA6"/>
    <w:rsid w:val="00E339EA"/>
    <w:rsid w:val="00E4535E"/>
    <w:rsid w:val="00E52879"/>
    <w:rsid w:val="00E53A27"/>
    <w:rsid w:val="00E552BE"/>
    <w:rsid w:val="00E55791"/>
    <w:rsid w:val="00E56340"/>
    <w:rsid w:val="00E64FD4"/>
    <w:rsid w:val="00E67009"/>
    <w:rsid w:val="00E704FD"/>
    <w:rsid w:val="00E70594"/>
    <w:rsid w:val="00E73932"/>
    <w:rsid w:val="00E739E5"/>
    <w:rsid w:val="00E74561"/>
    <w:rsid w:val="00E74935"/>
    <w:rsid w:val="00E75BC0"/>
    <w:rsid w:val="00E75D6F"/>
    <w:rsid w:val="00E847C5"/>
    <w:rsid w:val="00E8609B"/>
    <w:rsid w:val="00E92BF0"/>
    <w:rsid w:val="00E93D73"/>
    <w:rsid w:val="00E94718"/>
    <w:rsid w:val="00E95FFE"/>
    <w:rsid w:val="00EA0820"/>
    <w:rsid w:val="00EB1FC2"/>
    <w:rsid w:val="00EB24EC"/>
    <w:rsid w:val="00EB70EA"/>
    <w:rsid w:val="00EC1DAF"/>
    <w:rsid w:val="00ED0DCA"/>
    <w:rsid w:val="00ED1111"/>
    <w:rsid w:val="00ED47A7"/>
    <w:rsid w:val="00EE1EE7"/>
    <w:rsid w:val="00EF4A28"/>
    <w:rsid w:val="00EF6AF5"/>
    <w:rsid w:val="00F019E9"/>
    <w:rsid w:val="00F035AB"/>
    <w:rsid w:val="00F03760"/>
    <w:rsid w:val="00F05DFC"/>
    <w:rsid w:val="00F072E8"/>
    <w:rsid w:val="00F143A1"/>
    <w:rsid w:val="00F1480F"/>
    <w:rsid w:val="00F179F3"/>
    <w:rsid w:val="00F2072B"/>
    <w:rsid w:val="00F32B6D"/>
    <w:rsid w:val="00F34277"/>
    <w:rsid w:val="00F34CA1"/>
    <w:rsid w:val="00F4372E"/>
    <w:rsid w:val="00F453FE"/>
    <w:rsid w:val="00F63346"/>
    <w:rsid w:val="00F66868"/>
    <w:rsid w:val="00F71825"/>
    <w:rsid w:val="00F749AE"/>
    <w:rsid w:val="00F80169"/>
    <w:rsid w:val="00F81514"/>
    <w:rsid w:val="00F82200"/>
    <w:rsid w:val="00F823A4"/>
    <w:rsid w:val="00F82B86"/>
    <w:rsid w:val="00F84700"/>
    <w:rsid w:val="00F85FAD"/>
    <w:rsid w:val="00F86352"/>
    <w:rsid w:val="00F87040"/>
    <w:rsid w:val="00F870DD"/>
    <w:rsid w:val="00F9445C"/>
    <w:rsid w:val="00F95A32"/>
    <w:rsid w:val="00FA0BE4"/>
    <w:rsid w:val="00FA1D8A"/>
    <w:rsid w:val="00FA3FD9"/>
    <w:rsid w:val="00FA6AF6"/>
    <w:rsid w:val="00FA7D65"/>
    <w:rsid w:val="00FB593A"/>
    <w:rsid w:val="00FC1AD0"/>
    <w:rsid w:val="00FC20D8"/>
    <w:rsid w:val="00FC396F"/>
    <w:rsid w:val="00FC3D4E"/>
    <w:rsid w:val="00FC6D99"/>
    <w:rsid w:val="00FC72FB"/>
    <w:rsid w:val="00FD162B"/>
    <w:rsid w:val="00FE08CB"/>
    <w:rsid w:val="00FE0900"/>
    <w:rsid w:val="00FE391D"/>
    <w:rsid w:val="00FE3C08"/>
    <w:rsid w:val="00FF1505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223C0"/>
    <w:rsid w:val="023E4DC6"/>
    <w:rsid w:val="02443513"/>
    <w:rsid w:val="024C16A6"/>
    <w:rsid w:val="027B6543"/>
    <w:rsid w:val="027C2452"/>
    <w:rsid w:val="0294765E"/>
    <w:rsid w:val="029C3C9F"/>
    <w:rsid w:val="02A23A7B"/>
    <w:rsid w:val="02BE42E8"/>
    <w:rsid w:val="030B000A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AE2AFE"/>
    <w:rsid w:val="04B147BC"/>
    <w:rsid w:val="04BB6B80"/>
    <w:rsid w:val="04BC60C1"/>
    <w:rsid w:val="04C16682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1624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67100"/>
    <w:rsid w:val="06E930D6"/>
    <w:rsid w:val="06F31780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EE658E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51783"/>
    <w:rsid w:val="08AD693C"/>
    <w:rsid w:val="08CA4673"/>
    <w:rsid w:val="08D24C49"/>
    <w:rsid w:val="08D322DD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17128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73512F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91486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DF4796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43C7E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6F04B1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224871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26E7C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475A92"/>
    <w:rsid w:val="17613E3F"/>
    <w:rsid w:val="17664D13"/>
    <w:rsid w:val="1766777C"/>
    <w:rsid w:val="17676E2A"/>
    <w:rsid w:val="176D41EE"/>
    <w:rsid w:val="17736480"/>
    <w:rsid w:val="1780422F"/>
    <w:rsid w:val="17A75F25"/>
    <w:rsid w:val="17B86409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05594"/>
    <w:rsid w:val="1B0270FF"/>
    <w:rsid w:val="1B0C10DF"/>
    <w:rsid w:val="1B180E74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63E18"/>
    <w:rsid w:val="1C8D49BF"/>
    <w:rsid w:val="1C9F1651"/>
    <w:rsid w:val="1CEB46F7"/>
    <w:rsid w:val="1D23735C"/>
    <w:rsid w:val="1D54071F"/>
    <w:rsid w:val="1D6451C6"/>
    <w:rsid w:val="1D654C9F"/>
    <w:rsid w:val="1D69417C"/>
    <w:rsid w:val="1D71005A"/>
    <w:rsid w:val="1D807289"/>
    <w:rsid w:val="1D8E233B"/>
    <w:rsid w:val="1D964A17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1FFA0915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72F14"/>
    <w:rsid w:val="20DD7F39"/>
    <w:rsid w:val="20E24774"/>
    <w:rsid w:val="20F25221"/>
    <w:rsid w:val="21145BE0"/>
    <w:rsid w:val="21440678"/>
    <w:rsid w:val="21464716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DB06FA"/>
    <w:rsid w:val="22E819D8"/>
    <w:rsid w:val="22F57E73"/>
    <w:rsid w:val="231523F7"/>
    <w:rsid w:val="231777AF"/>
    <w:rsid w:val="234B605E"/>
    <w:rsid w:val="235133E3"/>
    <w:rsid w:val="23560A29"/>
    <w:rsid w:val="235F59AB"/>
    <w:rsid w:val="237D64A7"/>
    <w:rsid w:val="238A4219"/>
    <w:rsid w:val="239051E5"/>
    <w:rsid w:val="23924A0F"/>
    <w:rsid w:val="23987B60"/>
    <w:rsid w:val="239D13E8"/>
    <w:rsid w:val="239F6D5D"/>
    <w:rsid w:val="239F7F68"/>
    <w:rsid w:val="23CE130B"/>
    <w:rsid w:val="23ED0F94"/>
    <w:rsid w:val="23F85606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2A5544"/>
    <w:rsid w:val="25417958"/>
    <w:rsid w:val="254369E7"/>
    <w:rsid w:val="25494E1D"/>
    <w:rsid w:val="257A74F9"/>
    <w:rsid w:val="25895A3D"/>
    <w:rsid w:val="258D735D"/>
    <w:rsid w:val="259A68BC"/>
    <w:rsid w:val="25D1716B"/>
    <w:rsid w:val="25D52D1D"/>
    <w:rsid w:val="25DF6A97"/>
    <w:rsid w:val="25E1643C"/>
    <w:rsid w:val="25E6024A"/>
    <w:rsid w:val="25EA0F86"/>
    <w:rsid w:val="2614068C"/>
    <w:rsid w:val="26212585"/>
    <w:rsid w:val="26282ED7"/>
    <w:rsid w:val="265B6DE8"/>
    <w:rsid w:val="265F04C1"/>
    <w:rsid w:val="267440C5"/>
    <w:rsid w:val="267548DA"/>
    <w:rsid w:val="268C256C"/>
    <w:rsid w:val="269F48BD"/>
    <w:rsid w:val="26A7223A"/>
    <w:rsid w:val="26F23979"/>
    <w:rsid w:val="272A1178"/>
    <w:rsid w:val="272D26C8"/>
    <w:rsid w:val="27370B52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A6429A"/>
    <w:rsid w:val="27AD08FF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2C13B0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847D7"/>
    <w:rsid w:val="2A1C62F4"/>
    <w:rsid w:val="2A5F0A9A"/>
    <w:rsid w:val="2A802A87"/>
    <w:rsid w:val="2A931BB9"/>
    <w:rsid w:val="2A9D346A"/>
    <w:rsid w:val="2AA3048F"/>
    <w:rsid w:val="2AB51A38"/>
    <w:rsid w:val="2AB903D8"/>
    <w:rsid w:val="2AC85DB9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CC6FF0"/>
    <w:rsid w:val="2BFE1EDB"/>
    <w:rsid w:val="2C001968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4D5160"/>
    <w:rsid w:val="2D610EF1"/>
    <w:rsid w:val="2D7174D7"/>
    <w:rsid w:val="2D7B766B"/>
    <w:rsid w:val="2D9379FB"/>
    <w:rsid w:val="2D9E7CAE"/>
    <w:rsid w:val="2DA63741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157C2"/>
    <w:rsid w:val="2E720143"/>
    <w:rsid w:val="2E852BFA"/>
    <w:rsid w:val="2EB72D84"/>
    <w:rsid w:val="2EE359E2"/>
    <w:rsid w:val="2EEC1574"/>
    <w:rsid w:val="2F1B43C7"/>
    <w:rsid w:val="2F4B55D7"/>
    <w:rsid w:val="2F5604CA"/>
    <w:rsid w:val="2F59048B"/>
    <w:rsid w:val="2F592F8F"/>
    <w:rsid w:val="2F67478A"/>
    <w:rsid w:val="2FA36E63"/>
    <w:rsid w:val="2FC33170"/>
    <w:rsid w:val="2FD352CF"/>
    <w:rsid w:val="2FD66838"/>
    <w:rsid w:val="2FDB72F7"/>
    <w:rsid w:val="300E7DD2"/>
    <w:rsid w:val="30144DFE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3D18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B53B00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5C3871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3F101FD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9F3018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95EA2"/>
    <w:rsid w:val="367C01BA"/>
    <w:rsid w:val="368A0F28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D64BA7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950F3"/>
    <w:rsid w:val="38AB3C78"/>
    <w:rsid w:val="38FA192C"/>
    <w:rsid w:val="38FB4BD9"/>
    <w:rsid w:val="38FF7D0D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B0468D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6047E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C4237"/>
    <w:rsid w:val="3C6D0AA3"/>
    <w:rsid w:val="3C7978A8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D309B"/>
    <w:rsid w:val="3DA75BB4"/>
    <w:rsid w:val="3DB1783A"/>
    <w:rsid w:val="3DB73788"/>
    <w:rsid w:val="3DBE7888"/>
    <w:rsid w:val="3DC72FAC"/>
    <w:rsid w:val="3DD4640D"/>
    <w:rsid w:val="3DD55F01"/>
    <w:rsid w:val="3E00648E"/>
    <w:rsid w:val="3E097ED6"/>
    <w:rsid w:val="3E0F619F"/>
    <w:rsid w:val="3E2C07D2"/>
    <w:rsid w:val="3E3C10A9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B133E2"/>
    <w:rsid w:val="3EC21710"/>
    <w:rsid w:val="3ED07B39"/>
    <w:rsid w:val="3ED75A5B"/>
    <w:rsid w:val="3EEE4BA8"/>
    <w:rsid w:val="3F227ECC"/>
    <w:rsid w:val="3F2A1510"/>
    <w:rsid w:val="3F2B3A23"/>
    <w:rsid w:val="3F323523"/>
    <w:rsid w:val="3F577277"/>
    <w:rsid w:val="3F59407A"/>
    <w:rsid w:val="3F963935"/>
    <w:rsid w:val="3FBD7ADB"/>
    <w:rsid w:val="3FC223B8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985505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892EE4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A6438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A0784E"/>
    <w:rsid w:val="43B24CCF"/>
    <w:rsid w:val="43B43752"/>
    <w:rsid w:val="43D14618"/>
    <w:rsid w:val="43E63027"/>
    <w:rsid w:val="43F669C3"/>
    <w:rsid w:val="44205D19"/>
    <w:rsid w:val="442C10DA"/>
    <w:rsid w:val="44314B0E"/>
    <w:rsid w:val="443866C9"/>
    <w:rsid w:val="443E0A2B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813D2"/>
    <w:rsid w:val="452D6C34"/>
    <w:rsid w:val="45475719"/>
    <w:rsid w:val="454D00BA"/>
    <w:rsid w:val="456951DA"/>
    <w:rsid w:val="45973AD6"/>
    <w:rsid w:val="45A52B1C"/>
    <w:rsid w:val="45AC4CF4"/>
    <w:rsid w:val="45AD524F"/>
    <w:rsid w:val="45AE36B8"/>
    <w:rsid w:val="45C03181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8E0D4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2C2648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8909B6"/>
    <w:rsid w:val="4B96469A"/>
    <w:rsid w:val="4BB96A99"/>
    <w:rsid w:val="4BD47B3A"/>
    <w:rsid w:val="4BE60345"/>
    <w:rsid w:val="4BF61A49"/>
    <w:rsid w:val="4BFD254C"/>
    <w:rsid w:val="4BFD2BB9"/>
    <w:rsid w:val="4C007D9B"/>
    <w:rsid w:val="4C06379E"/>
    <w:rsid w:val="4C097E52"/>
    <w:rsid w:val="4C251632"/>
    <w:rsid w:val="4C266DAF"/>
    <w:rsid w:val="4C3C7997"/>
    <w:rsid w:val="4C3E2A23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DE0F00"/>
    <w:rsid w:val="4EF438A7"/>
    <w:rsid w:val="4EF74679"/>
    <w:rsid w:val="4F0057ED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424989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C97C85"/>
    <w:rsid w:val="52D32108"/>
    <w:rsid w:val="52D6356D"/>
    <w:rsid w:val="52F22F67"/>
    <w:rsid w:val="52F77D67"/>
    <w:rsid w:val="52F836E3"/>
    <w:rsid w:val="53054AEC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2E5A45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CC73D2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207C7F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72FDA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B4B53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7E351C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8E1F09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3257F"/>
    <w:rsid w:val="5DC0413C"/>
    <w:rsid w:val="5DC93120"/>
    <w:rsid w:val="5DDA6F3B"/>
    <w:rsid w:val="5DDB5F91"/>
    <w:rsid w:val="5E282729"/>
    <w:rsid w:val="5E2C3252"/>
    <w:rsid w:val="5E323CBE"/>
    <w:rsid w:val="5E39000D"/>
    <w:rsid w:val="5E5007AD"/>
    <w:rsid w:val="5E5126D4"/>
    <w:rsid w:val="5E575A00"/>
    <w:rsid w:val="5E5B33A6"/>
    <w:rsid w:val="5ECF1B13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CD2C3C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782D50"/>
    <w:rsid w:val="608D0DC2"/>
    <w:rsid w:val="609D56DD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3328E6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8D7C4D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3679B"/>
    <w:rsid w:val="663B062F"/>
    <w:rsid w:val="663E4EF3"/>
    <w:rsid w:val="66471F83"/>
    <w:rsid w:val="665A01D2"/>
    <w:rsid w:val="66875A86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80794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57161B"/>
    <w:rsid w:val="6A650E8F"/>
    <w:rsid w:val="6A7F0672"/>
    <w:rsid w:val="6A8243F3"/>
    <w:rsid w:val="6AA25847"/>
    <w:rsid w:val="6ADE4B51"/>
    <w:rsid w:val="6AEB550E"/>
    <w:rsid w:val="6AF47AD0"/>
    <w:rsid w:val="6B0B7792"/>
    <w:rsid w:val="6B15219D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8B28BB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266905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EF500FD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04DE1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2E079E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41B05"/>
    <w:rsid w:val="73062CBE"/>
    <w:rsid w:val="731667BF"/>
    <w:rsid w:val="73297EB2"/>
    <w:rsid w:val="73497FD2"/>
    <w:rsid w:val="734C505F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4F5C2E"/>
    <w:rsid w:val="747E0535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9A4D29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BE3B48"/>
    <w:rsid w:val="76D15B17"/>
    <w:rsid w:val="77186B1E"/>
    <w:rsid w:val="77645C7D"/>
    <w:rsid w:val="776955B1"/>
    <w:rsid w:val="777439C1"/>
    <w:rsid w:val="7782001E"/>
    <w:rsid w:val="778B1158"/>
    <w:rsid w:val="77907E57"/>
    <w:rsid w:val="77961505"/>
    <w:rsid w:val="77B15DF4"/>
    <w:rsid w:val="77B856B5"/>
    <w:rsid w:val="77CB35CD"/>
    <w:rsid w:val="78044A7A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1B3C8A"/>
    <w:rsid w:val="7A2E5C6D"/>
    <w:rsid w:val="7A303322"/>
    <w:rsid w:val="7A717E1B"/>
    <w:rsid w:val="7A7F6A39"/>
    <w:rsid w:val="7A813BF5"/>
    <w:rsid w:val="7A9A2995"/>
    <w:rsid w:val="7A9E37B9"/>
    <w:rsid w:val="7AA85A57"/>
    <w:rsid w:val="7AA97571"/>
    <w:rsid w:val="7ACF2907"/>
    <w:rsid w:val="7AD1328F"/>
    <w:rsid w:val="7AF26D81"/>
    <w:rsid w:val="7AF464E6"/>
    <w:rsid w:val="7AF6549D"/>
    <w:rsid w:val="7B014170"/>
    <w:rsid w:val="7B135976"/>
    <w:rsid w:val="7B1A61F8"/>
    <w:rsid w:val="7B4629B1"/>
    <w:rsid w:val="7B4F3366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3A7E02"/>
    <w:rsid w:val="7C4706AF"/>
    <w:rsid w:val="7C526D30"/>
    <w:rsid w:val="7C574088"/>
    <w:rsid w:val="7C5D6386"/>
    <w:rsid w:val="7C921F5C"/>
    <w:rsid w:val="7C9D2374"/>
    <w:rsid w:val="7CAC42FA"/>
    <w:rsid w:val="7CBB3819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240B01"/>
    <w:rsid w:val="7E316318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8E2445-E7FE-4306-9F2F-AAC6AEE4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  <w:lang w:val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ascii="Times New Roman" w:eastAsia="宋体" w:hAnsi="Times New Roman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  <w:lang w:val="en-US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  <w:lang w:val="en-US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a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a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  <w:lang w:val="en-US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  <w:lang w:val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  <w:lang w:val="en-US"/>
    </w:rPr>
  </w:style>
  <w:style w:type="paragraph" w:customStyle="1" w:styleId="32">
    <w:name w:val="修订3"/>
    <w:hidden/>
    <w:uiPriority w:val="99"/>
    <w:unhideWhenUsed/>
    <w:qFormat/>
    <w:rPr>
      <w:kern w:val="2"/>
      <w:sz w:val="21"/>
      <w:lang w:val="en-US"/>
    </w:rPr>
  </w:style>
  <w:style w:type="paragraph" w:customStyle="1" w:styleId="12">
    <w:name w:val="列出段落1"/>
    <w:basedOn w:val="a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  <w:style w:type="table" w:customStyle="1" w:styleId="TableGrid1">
    <w:name w:val="Table Grid1"/>
    <w:basedOn w:val="a1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US"/>
    </w:rPr>
  </w:style>
  <w:style w:type="paragraph" w:customStyle="1" w:styleId="ListParagraph9">
    <w:name w:val="List Paragraph9"/>
    <w:basedOn w:val="a"/>
    <w:qFormat/>
    <w:pPr>
      <w:ind w:firstLineChars="200" w:firstLine="420"/>
    </w:pPr>
    <w:rPr>
      <w:rFonts w:cs="Time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13">
    <w:name w:val="正文1"/>
    <w:qFormat/>
    <w:rPr>
      <w:rFonts w:ascii="宋体" w:hAnsi="宋体" w:cs="宋体"/>
      <w:sz w:val="24"/>
      <w:szCs w:val="24"/>
      <w:lang w:val="en-US"/>
    </w:rPr>
  </w:style>
  <w:style w:type="paragraph" w:customStyle="1" w:styleId="41">
    <w:name w:val="修订4"/>
    <w:hidden/>
    <w:uiPriority w:val="99"/>
    <w:unhideWhenUsed/>
    <w:qFormat/>
    <w:rPr>
      <w:kern w:val="2"/>
      <w:sz w:val="21"/>
      <w:lang w:val="en-US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0">
    <w:name w:val="修订5"/>
    <w:hidden/>
    <w:uiPriority w:val="99"/>
    <w:semiHidden/>
    <w:qFormat/>
    <w:rPr>
      <w:kern w:val="2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cid:6AF22FB7-BDDC-47E8-AD27-6768E61BA5B9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64DDC1-BB09-43BA-A381-5A8F14B0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2525</Words>
  <Characters>14399</Characters>
  <Application>Microsoft Office Word</Application>
  <DocSecurity>0</DocSecurity>
  <Lines>119</Lines>
  <Paragraphs>33</Paragraphs>
  <ScaleCrop>false</ScaleCrop>
  <Company>HP Inc.</Company>
  <LinksUpToDate>false</LinksUpToDate>
  <CharactersWithSpaces>16891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2025-03-03T14:22:00Z</dcterms:created>
  <dcterms:modified xsi:type="dcterms:W3CDTF">2025-03-03T14:22:00Z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14911A171FB24A0AA771CF971F39CDFF</vt:lpwstr>
  </property>
</Properties>
</file>